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9FF37" w14:textId="721FDD0A" w:rsidR="00812176" w:rsidRPr="000054FC" w:rsidRDefault="006F4279" w:rsidP="000054FC">
      <w:pPr>
        <w:rPr>
          <w:b/>
          <w:lang w:val="en-US"/>
        </w:rPr>
      </w:pPr>
      <w:bookmarkStart w:id="0" w:name="_Toc303522586"/>
      <w:r w:rsidRPr="000054FC">
        <w:rPr>
          <w:b/>
          <w:lang w:val="en-US"/>
        </w:rPr>
        <w:t xml:space="preserve">Bimodal recurrence pattern of tsunamis in south central Chile: a statistical exploration of paleotsunami data </w:t>
      </w:r>
    </w:p>
    <w:p w14:paraId="637F5D29" w14:textId="7F3FEC59" w:rsidR="00DD1DF8" w:rsidRPr="000054FC" w:rsidRDefault="00DD1DF8" w:rsidP="000054FC">
      <w:pPr>
        <w:rPr>
          <w:lang w:val="nb-NO"/>
        </w:rPr>
      </w:pPr>
      <w:r w:rsidRPr="000054FC">
        <w:rPr>
          <w:lang w:val="nb-NO"/>
        </w:rPr>
        <w:t>Philipp Kempf</w:t>
      </w:r>
      <w:r w:rsidR="00E028A0" w:rsidRPr="000054FC">
        <w:rPr>
          <w:vertAlign w:val="superscript"/>
          <w:lang w:val="nb-NO"/>
        </w:rPr>
        <w:t>1,2</w:t>
      </w:r>
      <w:r w:rsidRPr="000054FC">
        <w:rPr>
          <w:lang w:val="nb-NO"/>
        </w:rPr>
        <w:t xml:space="preserve">, </w:t>
      </w:r>
      <w:proofErr w:type="spellStart"/>
      <w:r w:rsidRPr="000054FC">
        <w:rPr>
          <w:lang w:val="nb-NO"/>
        </w:rPr>
        <w:t>Jasper</w:t>
      </w:r>
      <w:proofErr w:type="spellEnd"/>
      <w:r w:rsidRPr="000054FC">
        <w:rPr>
          <w:lang w:val="nb-NO"/>
        </w:rPr>
        <w:t xml:space="preserve"> Moernaut</w:t>
      </w:r>
      <w:r w:rsidR="00E028A0" w:rsidRPr="000054FC">
        <w:rPr>
          <w:vertAlign w:val="superscript"/>
          <w:lang w:val="nb-NO"/>
        </w:rPr>
        <w:t>3</w:t>
      </w:r>
      <w:r w:rsidRPr="000054FC">
        <w:rPr>
          <w:lang w:val="nb-NO"/>
        </w:rPr>
        <w:t>, Marc De Batist</w:t>
      </w:r>
      <w:r w:rsidR="00E028A0" w:rsidRPr="000054FC">
        <w:rPr>
          <w:vertAlign w:val="superscript"/>
          <w:lang w:val="nb-NO"/>
        </w:rPr>
        <w:t>2</w:t>
      </w:r>
    </w:p>
    <w:bookmarkEnd w:id="0"/>
    <w:p w14:paraId="7817FA47" w14:textId="77777777" w:rsidR="00E028A0" w:rsidRPr="00C27413" w:rsidRDefault="00E028A0" w:rsidP="000054FC">
      <w:pPr>
        <w:pStyle w:val="ListParagraph"/>
        <w:numPr>
          <w:ilvl w:val="0"/>
          <w:numId w:val="2"/>
        </w:numPr>
        <w:rPr>
          <w:lang w:val="en-US"/>
        </w:rPr>
      </w:pPr>
      <w:r w:rsidRPr="00C27413">
        <w:rPr>
          <w:lang w:val="en-US"/>
        </w:rPr>
        <w:t>Geological Survey of Belgium, Royal Belgian Institute of Natural Sciences, Brussels, Belgium</w:t>
      </w:r>
    </w:p>
    <w:p w14:paraId="4AE95DDE" w14:textId="77777777" w:rsidR="00E028A0" w:rsidRPr="00C27413" w:rsidRDefault="00E028A0" w:rsidP="000054FC">
      <w:pPr>
        <w:pStyle w:val="ListParagraph"/>
        <w:numPr>
          <w:ilvl w:val="0"/>
          <w:numId w:val="2"/>
        </w:numPr>
        <w:rPr>
          <w:lang w:val="en-US"/>
        </w:rPr>
      </w:pPr>
      <w:r w:rsidRPr="00C27413">
        <w:rPr>
          <w:lang w:val="en-US"/>
        </w:rPr>
        <w:t>Renard Centre of Marine Geology, Ghent University, Gent, Belgium</w:t>
      </w:r>
    </w:p>
    <w:p w14:paraId="5B2A0689" w14:textId="30B9B028" w:rsidR="00E028A0" w:rsidRPr="00C27413" w:rsidRDefault="004E626D" w:rsidP="000054FC">
      <w:pPr>
        <w:pStyle w:val="ListParagraph"/>
        <w:numPr>
          <w:ilvl w:val="0"/>
          <w:numId w:val="2"/>
        </w:numPr>
        <w:rPr>
          <w:lang w:val="en-US"/>
        </w:rPr>
      </w:pPr>
      <w:r w:rsidRPr="00C27413">
        <w:rPr>
          <w:lang w:val="en-US"/>
        </w:rPr>
        <w:t>Institute of</w:t>
      </w:r>
      <w:r w:rsidR="00E028A0" w:rsidRPr="00C27413">
        <w:rPr>
          <w:lang w:val="en-US"/>
        </w:rPr>
        <w:t xml:space="preserve"> Geolog</w:t>
      </w:r>
      <w:r w:rsidRPr="00C27413">
        <w:rPr>
          <w:lang w:val="en-US"/>
        </w:rPr>
        <w:t>y</w:t>
      </w:r>
      <w:r w:rsidR="00A31B18" w:rsidRPr="00C27413">
        <w:rPr>
          <w:lang w:val="en-US"/>
        </w:rPr>
        <w:t xml:space="preserve">, </w:t>
      </w:r>
      <w:r w:rsidR="00E028A0" w:rsidRPr="00C27413">
        <w:rPr>
          <w:lang w:val="en-US"/>
        </w:rPr>
        <w:t>University of Innsbruck, Innsbruck, Austria</w:t>
      </w:r>
    </w:p>
    <w:p w14:paraId="7D617CE2" w14:textId="77777777" w:rsidR="00E028A0" w:rsidRPr="00C27413" w:rsidRDefault="00E028A0" w:rsidP="000054FC">
      <w:pPr>
        <w:pStyle w:val="Heading2"/>
        <w:ind w:firstLine="0"/>
        <w:rPr>
          <w:lang w:val="en-US"/>
        </w:rPr>
      </w:pPr>
      <w:r w:rsidRPr="00C27413">
        <w:rPr>
          <w:lang w:val="en-US"/>
        </w:rPr>
        <w:t>Abstract</w:t>
      </w:r>
    </w:p>
    <w:p w14:paraId="0197C1D6" w14:textId="0744D58A" w:rsidR="006E649D" w:rsidRPr="00BD2FEF" w:rsidRDefault="002358AA" w:rsidP="000054FC">
      <w:pPr>
        <w:rPr>
          <w:lang w:val="en-US"/>
        </w:rPr>
      </w:pPr>
      <w:r w:rsidRPr="00C27413">
        <w:rPr>
          <w:lang w:val="en-US"/>
        </w:rPr>
        <w:t xml:space="preserve">To </w:t>
      </w:r>
      <w:r w:rsidR="00BA6F74" w:rsidRPr="00C27413">
        <w:rPr>
          <w:lang w:val="en-US"/>
        </w:rPr>
        <w:t>improve</w:t>
      </w:r>
      <w:r w:rsidRPr="00C27413">
        <w:rPr>
          <w:lang w:val="en-US"/>
        </w:rPr>
        <w:t xml:space="preserve"> tsunami </w:t>
      </w:r>
      <w:r w:rsidR="00840276" w:rsidRPr="00BD2FEF">
        <w:rPr>
          <w:lang w:val="en-US"/>
        </w:rPr>
        <w:t>hazard</w:t>
      </w:r>
      <w:r w:rsidRPr="00C27413">
        <w:rPr>
          <w:lang w:val="en-US"/>
        </w:rPr>
        <w:t xml:space="preserve"> assessment</w:t>
      </w:r>
      <w:r w:rsidR="009C1707" w:rsidRPr="00C27413">
        <w:rPr>
          <w:lang w:val="en-US"/>
        </w:rPr>
        <w:t>,</w:t>
      </w:r>
      <w:r w:rsidRPr="00BD2FEF">
        <w:rPr>
          <w:lang w:val="en-US"/>
        </w:rPr>
        <w:t xml:space="preserve"> </w:t>
      </w:r>
      <w:r w:rsidR="00BA6F74" w:rsidRPr="00BD2FEF">
        <w:rPr>
          <w:lang w:val="en-US"/>
        </w:rPr>
        <w:t>paleotsunami research aims</w:t>
      </w:r>
      <w:r w:rsidRPr="00BD2FEF">
        <w:rPr>
          <w:lang w:val="en-US"/>
        </w:rPr>
        <w:t xml:space="preserve"> </w:t>
      </w:r>
      <w:r w:rsidR="00BA6F74" w:rsidRPr="00BD2FEF">
        <w:rPr>
          <w:lang w:val="en-US"/>
        </w:rPr>
        <w:t xml:space="preserve">at extending the time span of a region’s historical tsunami record in order </w:t>
      </w:r>
      <w:r w:rsidRPr="00BD2FEF">
        <w:rPr>
          <w:lang w:val="en-US"/>
        </w:rPr>
        <w:t xml:space="preserve">to provide a greater </w:t>
      </w:r>
      <w:r w:rsidR="00BA6F74" w:rsidRPr="00BD2FEF">
        <w:rPr>
          <w:lang w:val="en-US"/>
        </w:rPr>
        <w:t>number of inter-event periods to investigate</w:t>
      </w:r>
      <w:r w:rsidRPr="00BD2FEF">
        <w:rPr>
          <w:lang w:val="en-US"/>
        </w:rPr>
        <w:t xml:space="preserve">. With seventeen tsunami deposits, i.e. sixteen inter-event periods, the sedimentary record </w:t>
      </w:r>
      <w:r w:rsidR="009C1707" w:rsidRPr="00BD2FEF">
        <w:rPr>
          <w:lang w:val="en-US"/>
        </w:rPr>
        <w:t xml:space="preserve">of Lake Huelde in south central Chile </w:t>
      </w:r>
      <w:r w:rsidRPr="00BD2FEF">
        <w:rPr>
          <w:lang w:val="en-US"/>
        </w:rPr>
        <w:t xml:space="preserve">belongs to the </w:t>
      </w:r>
      <w:r w:rsidR="00C64B80" w:rsidRPr="00BD2FEF">
        <w:rPr>
          <w:lang w:val="en-US"/>
        </w:rPr>
        <w:t>l</w:t>
      </w:r>
      <w:r w:rsidR="00BA6F74" w:rsidRPr="00BD2FEF">
        <w:rPr>
          <w:lang w:val="en-US"/>
        </w:rPr>
        <w:t>ongest</w:t>
      </w:r>
      <w:r w:rsidRPr="00BD2FEF">
        <w:rPr>
          <w:lang w:val="en-US"/>
        </w:rPr>
        <w:t xml:space="preserve"> paleotsunami records from a coastal subduction zone setting. </w:t>
      </w:r>
      <w:r w:rsidR="00EE2846" w:rsidRPr="00BD2FEF">
        <w:rPr>
          <w:lang w:val="en-US"/>
        </w:rPr>
        <w:t>The compiled inter-event period</w:t>
      </w:r>
      <w:r w:rsidR="009C1707" w:rsidRPr="00BD2FEF">
        <w:rPr>
          <w:lang w:val="en-US"/>
        </w:rPr>
        <w:t xml:space="preserve">s of the Lake Huelde </w:t>
      </w:r>
      <w:r w:rsidR="00EE2846" w:rsidRPr="00BD2FEF">
        <w:rPr>
          <w:lang w:val="en-US"/>
        </w:rPr>
        <w:t>paleotsunami record show a complex bimodal recurrence pattern</w:t>
      </w:r>
      <w:r w:rsidR="00E978D2" w:rsidRPr="00BD2FEF">
        <w:rPr>
          <w:lang w:val="en-US"/>
        </w:rPr>
        <w:t>.</w:t>
      </w:r>
      <w:r w:rsidRPr="00BD2FEF">
        <w:rPr>
          <w:lang w:val="en-US"/>
        </w:rPr>
        <w:t xml:space="preserve"> The null hypothesis, that the underlying process is </w:t>
      </w:r>
      <w:r w:rsidR="00550187" w:rsidRPr="00BD2FEF">
        <w:rPr>
          <w:lang w:val="en-US"/>
        </w:rPr>
        <w:t>a time-independent</w:t>
      </w:r>
      <w:r w:rsidR="00BA6F74" w:rsidRPr="00BD2FEF">
        <w:rPr>
          <w:lang w:val="en-US"/>
        </w:rPr>
        <w:t xml:space="preserve"> (memoryless)</w:t>
      </w:r>
      <w:r w:rsidR="00550187" w:rsidRPr="00BD2FEF">
        <w:rPr>
          <w:lang w:val="en-US"/>
        </w:rPr>
        <w:t xml:space="preserve"> </w:t>
      </w:r>
      <w:r w:rsidRPr="00BD2FEF">
        <w:rPr>
          <w:lang w:val="en-US"/>
        </w:rPr>
        <w:t xml:space="preserve">Poissonian </w:t>
      </w:r>
      <w:r w:rsidR="00550187" w:rsidRPr="00BD2FEF">
        <w:rPr>
          <w:lang w:val="en-US"/>
        </w:rPr>
        <w:t xml:space="preserve">process </w:t>
      </w:r>
      <w:r w:rsidR="009C1707" w:rsidRPr="00BD2FEF">
        <w:rPr>
          <w:lang w:val="en-US"/>
        </w:rPr>
        <w:t>can be</w:t>
      </w:r>
      <w:r w:rsidRPr="00BD2FEF">
        <w:rPr>
          <w:lang w:val="en-US"/>
        </w:rPr>
        <w:t xml:space="preserve"> rejected by use of the Cox and Oakes test for exponentiality. By creating six different synthetic recurrence patterns</w:t>
      </w:r>
      <w:r w:rsidR="009C1707" w:rsidRPr="00BD2FEF">
        <w:rPr>
          <w:lang w:val="en-US"/>
        </w:rPr>
        <w:t xml:space="preserve"> based on </w:t>
      </w:r>
      <w:r w:rsidR="00BA6F74" w:rsidRPr="00BD2FEF">
        <w:rPr>
          <w:lang w:val="en-US"/>
        </w:rPr>
        <w:t xml:space="preserve">statistical </w:t>
      </w:r>
      <w:r w:rsidR="009C1707" w:rsidRPr="00BD2FEF">
        <w:rPr>
          <w:lang w:val="en-US"/>
        </w:rPr>
        <w:t>principles and real-world examples</w:t>
      </w:r>
      <w:r w:rsidRPr="00BD2FEF">
        <w:rPr>
          <w:lang w:val="en-US"/>
        </w:rPr>
        <w:t xml:space="preserve">, we explore the reliability of simple descriptive </w:t>
      </w:r>
      <w:r w:rsidR="009C1707" w:rsidRPr="00BD2FEF">
        <w:rPr>
          <w:lang w:val="en-US"/>
        </w:rPr>
        <w:t>statistical metrics</w:t>
      </w:r>
      <w:r w:rsidR="00E27CCF" w:rsidRPr="00BD2FEF">
        <w:rPr>
          <w:lang w:val="en-US"/>
        </w:rPr>
        <w:t xml:space="preserve">. The results reveal that the level of certainty </w:t>
      </w:r>
      <w:r w:rsidR="00BA6F74" w:rsidRPr="00BD2FEF">
        <w:rPr>
          <w:lang w:val="en-US"/>
        </w:rPr>
        <w:t xml:space="preserve">for mean inter-event period or variability of the process </w:t>
      </w:r>
      <w:r w:rsidR="00E27CCF" w:rsidRPr="00BD2FEF">
        <w:rPr>
          <w:lang w:val="en-US"/>
        </w:rPr>
        <w:t>varies strongly with sample size and underlying process</w:t>
      </w:r>
      <w:r w:rsidR="00EF4316" w:rsidRPr="00044FDF">
        <w:rPr>
          <w:lang w:val="en-US"/>
        </w:rPr>
        <w:t>, e.g. rupture behavior</w:t>
      </w:r>
      <w:r w:rsidR="00E27CCF" w:rsidRPr="00C27413">
        <w:rPr>
          <w:lang w:val="en-US"/>
        </w:rPr>
        <w:t xml:space="preserve">. </w:t>
      </w:r>
      <w:r w:rsidR="0012449E" w:rsidRPr="00BD2FEF">
        <w:rPr>
          <w:lang w:val="en-US"/>
        </w:rPr>
        <w:t xml:space="preserve">Of the investigated </w:t>
      </w:r>
      <w:r w:rsidR="00F47C44" w:rsidRPr="00BD2FEF">
        <w:rPr>
          <w:lang w:val="en-US"/>
        </w:rPr>
        <w:t xml:space="preserve">recurrence patterns, the simplest, i.e. a normal distribution, is described with reasonable reliability with only 3 inter-event periods. The </w:t>
      </w:r>
      <w:r w:rsidR="00B90CCE" w:rsidRPr="00BD2FEF">
        <w:rPr>
          <w:lang w:val="en-US"/>
        </w:rPr>
        <w:t>required number of inter-event periods needed</w:t>
      </w:r>
      <w:r w:rsidR="00F47C44" w:rsidRPr="00BD2FEF">
        <w:rPr>
          <w:lang w:val="en-US"/>
        </w:rPr>
        <w:t xml:space="preserve"> increases with </w:t>
      </w:r>
      <w:r w:rsidR="00CA24B3" w:rsidRPr="00BD2FEF">
        <w:rPr>
          <w:lang w:val="en-US"/>
        </w:rPr>
        <w:t xml:space="preserve">recurrence pattern </w:t>
      </w:r>
      <w:r w:rsidR="00F47C44" w:rsidRPr="00BD2FEF">
        <w:rPr>
          <w:lang w:val="en-US"/>
        </w:rPr>
        <w:t xml:space="preserve">complexity and/or time-independence, i.e. the </w:t>
      </w:r>
      <w:r w:rsidR="00CA24B3" w:rsidRPr="00BD2FEF">
        <w:rPr>
          <w:lang w:val="en-US"/>
        </w:rPr>
        <w:t>most complex</w:t>
      </w:r>
      <w:r w:rsidR="00F47C44" w:rsidRPr="00BD2FEF">
        <w:rPr>
          <w:lang w:val="en-US"/>
        </w:rPr>
        <w:t xml:space="preserve"> model is</w:t>
      </w:r>
      <w:r w:rsidR="00653CA8" w:rsidRPr="00BD2FEF">
        <w:rPr>
          <w:lang w:val="en-US"/>
        </w:rPr>
        <w:t xml:space="preserve"> a</w:t>
      </w:r>
      <w:r w:rsidR="00F47C44" w:rsidRPr="00BD2FEF">
        <w:rPr>
          <w:lang w:val="en-US"/>
        </w:rPr>
        <w:t xml:space="preserve"> supercycle model, which reaches the same level of reliability </w:t>
      </w:r>
      <w:r w:rsidR="00CA24B3" w:rsidRPr="00BD2FEF">
        <w:rPr>
          <w:lang w:val="en-US"/>
        </w:rPr>
        <w:t xml:space="preserve">only </w:t>
      </w:r>
      <w:r w:rsidR="00F47C44" w:rsidRPr="00BD2FEF">
        <w:rPr>
          <w:lang w:val="en-US"/>
        </w:rPr>
        <w:t>after 100 inter-event periods.</w:t>
      </w:r>
      <w:r w:rsidR="00F47C44" w:rsidRPr="00C27413">
        <w:rPr>
          <w:lang w:val="en-US"/>
        </w:rPr>
        <w:t xml:space="preserve"> </w:t>
      </w:r>
      <w:r w:rsidR="00E27CCF" w:rsidRPr="00C27413">
        <w:rPr>
          <w:lang w:val="en-US"/>
        </w:rPr>
        <w:t xml:space="preserve">We argue that the current best practice of reporting the mean </w:t>
      </w:r>
      <w:r w:rsidR="00E27CCF" w:rsidRPr="00BD2FEF">
        <w:rPr>
          <w:lang w:val="en-US"/>
        </w:rPr>
        <w:t>inter-event period with 1</w:t>
      </w:r>
      <w:r w:rsidR="00E27CCF" w:rsidRPr="00BD2FEF">
        <w:rPr>
          <w:rFonts w:cs="Times New Roman"/>
          <w:color w:val="000000"/>
          <w:lang w:val="en-US"/>
        </w:rPr>
        <w:t>σ-</w:t>
      </w:r>
      <w:r w:rsidR="00E27CCF" w:rsidRPr="00BD2FEF">
        <w:rPr>
          <w:lang w:val="en-US"/>
        </w:rPr>
        <w:t xml:space="preserve"> or 2</w:t>
      </w:r>
      <w:r w:rsidR="00E27CCF" w:rsidRPr="00BD2FEF">
        <w:rPr>
          <w:rFonts w:cs="Times New Roman"/>
          <w:color w:val="000000"/>
          <w:lang w:val="en-US"/>
        </w:rPr>
        <w:t>σ-</w:t>
      </w:r>
      <w:r w:rsidR="00E27CCF" w:rsidRPr="00BD2FEF">
        <w:rPr>
          <w:lang w:val="en-US"/>
        </w:rPr>
        <w:t>range</w:t>
      </w:r>
      <w:r w:rsidR="009C1707" w:rsidRPr="00BD2FEF">
        <w:rPr>
          <w:lang w:val="en-US"/>
        </w:rPr>
        <w:t>s</w:t>
      </w:r>
      <w:r w:rsidR="00E27CCF" w:rsidRPr="00BD2FEF">
        <w:rPr>
          <w:lang w:val="en-US"/>
        </w:rPr>
        <w:t xml:space="preserve"> of the sample can be misleading</w:t>
      </w:r>
      <w:r w:rsidR="009C1707" w:rsidRPr="00BD2FEF">
        <w:rPr>
          <w:lang w:val="en-US"/>
        </w:rPr>
        <w:t xml:space="preserve"> for tsunami or seismic hazard assessment</w:t>
      </w:r>
      <w:r w:rsidR="00E27CCF" w:rsidRPr="00BD2FEF">
        <w:rPr>
          <w:lang w:val="en-US"/>
        </w:rPr>
        <w:t xml:space="preserve"> without considering the sample size and the possible underlying process. </w:t>
      </w:r>
      <w:r w:rsidR="00BA6F74" w:rsidRPr="00BD2FEF">
        <w:rPr>
          <w:lang w:val="en-US"/>
        </w:rPr>
        <w:t>This becomes strikingly obvious when considering that the mean inter-event period of the Lake Huelde record of ~325 year</w:t>
      </w:r>
      <w:r w:rsidR="00E7025B" w:rsidRPr="00BD2FEF">
        <w:rPr>
          <w:lang w:val="en-US"/>
        </w:rPr>
        <w:t>s</w:t>
      </w:r>
      <w:r w:rsidR="00BA6F74" w:rsidRPr="00BD2FEF">
        <w:rPr>
          <w:lang w:val="en-US"/>
        </w:rPr>
        <w:t>, coincides with the anti-</w:t>
      </w:r>
      <w:r w:rsidR="00E7025B" w:rsidRPr="00BD2FEF">
        <w:rPr>
          <w:lang w:val="en-US"/>
        </w:rPr>
        <w:t xml:space="preserve">mode </w:t>
      </w:r>
      <w:r w:rsidR="00535284" w:rsidRPr="00BD2FEF">
        <w:rPr>
          <w:lang w:val="en-US"/>
        </w:rPr>
        <w:t>at ~315 years, i.e.</w:t>
      </w:r>
      <w:r w:rsidR="00535284" w:rsidRPr="00C27413">
        <w:rPr>
          <w:lang w:val="en-US"/>
        </w:rPr>
        <w:t xml:space="preserve"> </w:t>
      </w:r>
      <w:r w:rsidR="00E7025B" w:rsidRPr="00C27413">
        <w:rPr>
          <w:lang w:val="en-US"/>
        </w:rPr>
        <w:t>the lea</w:t>
      </w:r>
      <w:r w:rsidR="00BA6F74" w:rsidRPr="00BD2FEF">
        <w:rPr>
          <w:lang w:val="en-US"/>
        </w:rPr>
        <w:t>st likel</w:t>
      </w:r>
      <w:r w:rsidR="00E7025B" w:rsidRPr="00BD2FEF">
        <w:rPr>
          <w:lang w:val="en-US"/>
        </w:rPr>
        <w:t xml:space="preserve">y </w:t>
      </w:r>
      <w:r w:rsidR="00BA6F74" w:rsidRPr="00BD2FEF">
        <w:rPr>
          <w:lang w:val="en-US"/>
        </w:rPr>
        <w:t>between the two modes</w:t>
      </w:r>
      <w:r w:rsidR="00653CA8" w:rsidRPr="00BD2FEF">
        <w:rPr>
          <w:lang w:val="en-US"/>
        </w:rPr>
        <w:t xml:space="preserve"> of 115 years and 490 years</w:t>
      </w:r>
      <w:r w:rsidR="00BA6F74" w:rsidRPr="00C27413">
        <w:rPr>
          <w:lang w:val="en-US"/>
        </w:rPr>
        <w:t>.</w:t>
      </w:r>
      <w:r w:rsidR="00E7025B" w:rsidRPr="00BD2FEF">
        <w:rPr>
          <w:lang w:val="en-US"/>
        </w:rPr>
        <w:t xml:space="preserve"> The implications for south central Chile are that the </w:t>
      </w:r>
      <w:r w:rsidR="008C4919" w:rsidRPr="00BD2FEF">
        <w:rPr>
          <w:lang w:val="en-US"/>
        </w:rPr>
        <w:t>probability for a tsunami in the next 50 years is 1</w:t>
      </w:r>
      <w:r w:rsidR="00C7072C" w:rsidRPr="00BD2FEF">
        <w:rPr>
          <w:lang w:val="en-US"/>
        </w:rPr>
        <w:t>1</w:t>
      </w:r>
      <w:r w:rsidR="008C4919" w:rsidRPr="00BD2FEF">
        <w:rPr>
          <w:lang w:val="en-US"/>
        </w:rPr>
        <w:t>.</w:t>
      </w:r>
      <w:r w:rsidR="00C7072C" w:rsidRPr="00BD2FEF">
        <w:rPr>
          <w:lang w:val="en-US"/>
        </w:rPr>
        <w:t>6</w:t>
      </w:r>
      <w:r w:rsidR="008C4919" w:rsidRPr="00BD2FEF">
        <w:rPr>
          <w:lang w:val="en-US"/>
        </w:rPr>
        <w:t xml:space="preserve">%, which </w:t>
      </w:r>
      <w:r w:rsidR="00BA08F3">
        <w:rPr>
          <w:lang w:val="en-US"/>
        </w:rPr>
        <w:t>decreases</w:t>
      </w:r>
      <w:r w:rsidR="008C4919" w:rsidRPr="00BD2FEF">
        <w:rPr>
          <w:lang w:val="en-US"/>
        </w:rPr>
        <w:t xml:space="preserve"> to only 5.2%</w:t>
      </w:r>
      <w:r w:rsidR="00C7072C" w:rsidRPr="00BD2FEF">
        <w:rPr>
          <w:lang w:val="en-US"/>
        </w:rPr>
        <w:t>, if</w:t>
      </w:r>
      <w:r w:rsidR="008C4919" w:rsidRPr="00BD2FEF">
        <w:rPr>
          <w:lang w:val="en-US"/>
        </w:rPr>
        <w:t xml:space="preserve"> 250 years elapse without tsunami occurrence.</w:t>
      </w:r>
      <w:r w:rsidR="008C4919" w:rsidRPr="00C27413">
        <w:rPr>
          <w:lang w:val="en-US"/>
        </w:rPr>
        <w:t xml:space="preserve"> </w:t>
      </w:r>
      <w:r w:rsidR="00BA08F3">
        <w:rPr>
          <w:lang w:val="en-US"/>
        </w:rPr>
        <w:t xml:space="preserve">This decrease in probability would be unaccounted for with a classical hazard assessment, e.g. assuming Poissonian behavior. </w:t>
      </w:r>
      <w:r w:rsidR="00E27CCF" w:rsidRPr="00BD2FEF">
        <w:rPr>
          <w:lang w:val="en-US"/>
        </w:rPr>
        <w:t>We conclude with four requisites for a robust recurrence pattern:</w:t>
      </w:r>
      <w:r w:rsidR="00E27CCF" w:rsidRPr="00BD2FEF">
        <w:rPr>
          <w:rFonts w:cs="Times New Roman"/>
          <w:color w:val="000000"/>
          <w:lang w:val="en-US"/>
        </w:rPr>
        <w:t xml:space="preserve"> </w:t>
      </w:r>
      <w:r w:rsidR="00E27CCF" w:rsidRPr="00BD2FEF">
        <w:rPr>
          <w:lang w:val="en-US"/>
        </w:rPr>
        <w:t>i) good age control, ii) a stable sensitivity of the record to be impacted by and preserve traces of the event, iii) continuity in the record, and iv) a sufficient sample size</w:t>
      </w:r>
      <w:r w:rsidR="009C1707" w:rsidRPr="00BD2FEF">
        <w:rPr>
          <w:lang w:val="en-US"/>
        </w:rPr>
        <w:t xml:space="preserve"> given the expected underlying process</w:t>
      </w:r>
      <w:r w:rsidR="00E27CCF" w:rsidRPr="00BD2FEF">
        <w:rPr>
          <w:lang w:val="en-US"/>
        </w:rPr>
        <w:t>.</w:t>
      </w:r>
    </w:p>
    <w:p w14:paraId="52B14215" w14:textId="2EAEB7B5" w:rsidR="000054FC" w:rsidRDefault="000054FC">
      <w:pPr>
        <w:spacing w:after="0" w:line="240" w:lineRule="auto"/>
        <w:rPr>
          <w:lang w:val="en-US"/>
        </w:rPr>
      </w:pPr>
      <w:r>
        <w:rPr>
          <w:lang w:val="en-US"/>
        </w:rPr>
        <w:br w:type="page"/>
      </w:r>
    </w:p>
    <w:p w14:paraId="18F1CB3C" w14:textId="12782594" w:rsidR="00FB1ABC" w:rsidRPr="00BD2FEF" w:rsidRDefault="00FB1ABC" w:rsidP="000054FC">
      <w:pPr>
        <w:pStyle w:val="Heading2"/>
        <w:ind w:firstLine="0"/>
        <w:rPr>
          <w:lang w:val="en-US"/>
        </w:rPr>
      </w:pPr>
      <w:r w:rsidRPr="00BD2FEF">
        <w:rPr>
          <w:lang w:val="en-US"/>
        </w:rPr>
        <w:lastRenderedPageBreak/>
        <w:t>Introduction</w:t>
      </w:r>
    </w:p>
    <w:p w14:paraId="76797675" w14:textId="6E3B63D0" w:rsidR="00033022" w:rsidRPr="00BD2FEF" w:rsidRDefault="006E649D" w:rsidP="000054FC">
      <w:pPr>
        <w:rPr>
          <w:rFonts w:cs="Times New Roman"/>
          <w:lang w:val="en-US"/>
        </w:rPr>
      </w:pPr>
      <w:r w:rsidRPr="00BD2FEF">
        <w:rPr>
          <w:rFonts w:cs="Times New Roman"/>
          <w:lang w:val="en-US"/>
        </w:rPr>
        <w:t>Modern tsunami risk mitigation plans are based on the results of probabilistic tsunami hazard assessments (PTHAs), in which tsunami source parameters are defined and a recurrence probability model is applied to the sou</w:t>
      </w:r>
      <w:r w:rsidR="00B176C3" w:rsidRPr="00BD2FEF">
        <w:rPr>
          <w:rFonts w:cs="Times New Roman"/>
          <w:lang w:val="en-US"/>
        </w:rPr>
        <w:t>r</w:t>
      </w:r>
      <w:r w:rsidRPr="00BD2FEF">
        <w:rPr>
          <w:rFonts w:cs="Times New Roman"/>
          <w:lang w:val="en-US"/>
        </w:rPr>
        <w:t>ce</w:t>
      </w:r>
      <w:r w:rsidR="005524B6">
        <w:rPr>
          <w:rFonts w:cs="Times New Roman"/>
          <w:lang w:val="en-US"/>
        </w:rPr>
        <w:t xml:space="preserve"> </w:t>
      </w:r>
      <w:r w:rsidR="005524B6" w:rsidRPr="005524B6">
        <w:rPr>
          <w:rFonts w:cs="Times New Roman"/>
          <w:color w:val="4F81BD" w:themeColor="accent1"/>
          <w:lang w:val="en-US"/>
        </w:rPr>
        <w:t>(Geist and Parsons, 2006; Geist and Lynett, 2014)</w:t>
      </w:r>
      <w:r w:rsidRPr="00BD2FEF">
        <w:rPr>
          <w:rFonts w:cs="Times New Roman"/>
          <w:lang w:val="en-US"/>
        </w:rPr>
        <w:t xml:space="preserve">. </w:t>
      </w:r>
      <w:r w:rsidRPr="00C27413">
        <w:rPr>
          <w:rFonts w:cs="Times New Roman"/>
          <w:lang w:val="en-US"/>
        </w:rPr>
        <w:t xml:space="preserve">So far, tsunami sources, in the case of seismic triggering, have </w:t>
      </w:r>
      <w:r w:rsidR="00FC4AF9" w:rsidRPr="00BD2FEF">
        <w:rPr>
          <w:rFonts w:cs="Times New Roman"/>
          <w:lang w:val="en-US"/>
        </w:rPr>
        <w:t xml:space="preserve">usually </w:t>
      </w:r>
      <w:r w:rsidRPr="00BD2FEF">
        <w:rPr>
          <w:rFonts w:cs="Times New Roman"/>
          <w:lang w:val="en-US"/>
        </w:rPr>
        <w:t xml:space="preserve">been modeled to recur </w:t>
      </w:r>
      <w:r w:rsidR="00FC4AF9" w:rsidRPr="00BD2FEF">
        <w:rPr>
          <w:rFonts w:cs="Times New Roman"/>
          <w:lang w:val="en-US"/>
        </w:rPr>
        <w:t>time-</w:t>
      </w:r>
      <w:r w:rsidRPr="00BD2FEF">
        <w:rPr>
          <w:rFonts w:cs="Times New Roman"/>
          <w:lang w:val="en-US"/>
        </w:rPr>
        <w:t>independently from previous earthquakes</w:t>
      </w:r>
      <w:r w:rsidR="007F7F1E" w:rsidRPr="00BD2FEF">
        <w:rPr>
          <w:rFonts w:cs="Times New Roman"/>
          <w:lang w:val="en-US"/>
        </w:rPr>
        <w:t>, i.e. with a constant hazard rate,</w:t>
      </w:r>
      <w:r w:rsidRPr="00BD2FEF">
        <w:rPr>
          <w:rFonts w:cs="Times New Roman"/>
          <w:lang w:val="en-US"/>
        </w:rPr>
        <w:t xml:space="preserve"> </w:t>
      </w:r>
      <w:r w:rsidR="00331402" w:rsidRPr="00BD2FEF">
        <w:rPr>
          <w:rFonts w:cs="Times New Roman"/>
          <w:lang w:val="en-US"/>
        </w:rPr>
        <w:t xml:space="preserve">using </w:t>
      </w:r>
      <w:r w:rsidRPr="00BD2FEF">
        <w:rPr>
          <w:rFonts w:cs="Times New Roman"/>
          <w:lang w:val="en-US"/>
        </w:rPr>
        <w:t xml:space="preserve">a Poisson </w:t>
      </w:r>
      <w:r w:rsidR="00666A26" w:rsidRPr="00BD2FEF">
        <w:rPr>
          <w:rFonts w:cs="Times New Roman"/>
          <w:lang w:val="en-US"/>
        </w:rPr>
        <w:t>process</w:t>
      </w:r>
      <w:r w:rsidR="00331402" w:rsidRPr="00BD2FEF">
        <w:rPr>
          <w:rFonts w:cs="Times New Roman"/>
          <w:lang w:val="en-US"/>
        </w:rPr>
        <w:t xml:space="preserve">. </w:t>
      </w:r>
      <w:r w:rsidRPr="00BD2FEF">
        <w:rPr>
          <w:rFonts w:cs="Times New Roman"/>
          <w:lang w:val="en-US"/>
        </w:rPr>
        <w:t>It has been recognized, however, that tsunami generation may have a more comp</w:t>
      </w:r>
      <w:r w:rsidR="003318DD" w:rsidRPr="00BD2FEF">
        <w:rPr>
          <w:rFonts w:cs="Times New Roman"/>
          <w:lang w:val="en-US"/>
        </w:rPr>
        <w:t>lex recurrence pattern</w:t>
      </w:r>
      <w:r w:rsidR="00666A26" w:rsidRPr="00BD2FEF">
        <w:rPr>
          <w:rFonts w:cs="Times New Roman"/>
          <w:lang w:val="en-US"/>
        </w:rPr>
        <w:t>,</w:t>
      </w:r>
      <w:r w:rsidR="003318DD" w:rsidRPr="00BD2FEF">
        <w:rPr>
          <w:rFonts w:cs="Times New Roman"/>
          <w:lang w:val="en-US"/>
        </w:rPr>
        <w:t xml:space="preserve"> i.e.</w:t>
      </w:r>
      <w:r w:rsidR="00331402" w:rsidRPr="00BD2FEF">
        <w:rPr>
          <w:rFonts w:cs="Times New Roman"/>
          <w:lang w:val="en-US"/>
        </w:rPr>
        <w:t xml:space="preserve"> </w:t>
      </w:r>
      <w:r w:rsidR="003318DD" w:rsidRPr="00BD2FEF">
        <w:rPr>
          <w:rFonts w:cs="Times New Roman"/>
          <w:lang w:val="en-US"/>
        </w:rPr>
        <w:t xml:space="preserve">supercycle </w:t>
      </w:r>
      <w:r w:rsidR="00B70ACE" w:rsidRPr="00BD2FEF">
        <w:rPr>
          <w:rFonts w:cs="Times New Roman"/>
          <w:lang w:val="en-US"/>
        </w:rPr>
        <w:t xml:space="preserve">fault </w:t>
      </w:r>
      <w:r w:rsidR="003318DD" w:rsidRPr="00BD2FEF">
        <w:rPr>
          <w:rFonts w:cs="Times New Roman"/>
          <w:lang w:val="en-US"/>
        </w:rPr>
        <w:t>rupture behavior among others</w:t>
      </w:r>
      <w:r w:rsidR="005524B6">
        <w:rPr>
          <w:rFonts w:cs="Times New Roman"/>
          <w:color w:val="3366FF"/>
          <w:lang w:val="en-US"/>
        </w:rPr>
        <w:t xml:space="preserve"> </w:t>
      </w:r>
      <w:r w:rsidR="005524B6" w:rsidRPr="005524B6">
        <w:rPr>
          <w:rFonts w:cs="Times New Roman"/>
          <w:color w:val="4F81BD" w:themeColor="accent1"/>
          <w:lang w:val="en-US"/>
        </w:rPr>
        <w:t>(e.g. Sieh et al., 2008)</w:t>
      </w:r>
      <w:r w:rsidR="00CB07E0" w:rsidRPr="00C27413">
        <w:rPr>
          <w:rFonts w:cs="Times New Roman"/>
          <w:lang w:val="en-US"/>
        </w:rPr>
        <w:t xml:space="preserve">, </w:t>
      </w:r>
      <w:r w:rsidR="00B70ACE" w:rsidRPr="00BD2FEF">
        <w:rPr>
          <w:rFonts w:cs="Times New Roman"/>
          <w:lang w:val="en-US"/>
        </w:rPr>
        <w:t>in which cases</w:t>
      </w:r>
      <w:r w:rsidR="00CB07E0" w:rsidRPr="00BD2FEF">
        <w:rPr>
          <w:rFonts w:cs="Times New Roman"/>
          <w:lang w:val="en-US"/>
        </w:rPr>
        <w:t xml:space="preserve"> the used PTHAs may </w:t>
      </w:r>
      <w:r w:rsidR="00B70ACE" w:rsidRPr="00BD2FEF">
        <w:rPr>
          <w:rFonts w:cs="Times New Roman"/>
          <w:lang w:val="en-US"/>
        </w:rPr>
        <w:t xml:space="preserve">thus </w:t>
      </w:r>
      <w:r w:rsidR="00CB07E0" w:rsidRPr="00BD2FEF">
        <w:rPr>
          <w:rFonts w:cs="Times New Roman"/>
          <w:lang w:val="en-US"/>
        </w:rPr>
        <w:t>be deficient</w:t>
      </w:r>
      <w:r w:rsidR="003318DD" w:rsidRPr="00BD2FEF">
        <w:rPr>
          <w:rFonts w:cs="Times New Roman"/>
          <w:lang w:val="en-US"/>
        </w:rPr>
        <w:t xml:space="preserve">. </w:t>
      </w:r>
    </w:p>
    <w:p w14:paraId="37C2ECBF" w14:textId="123A00B0" w:rsidR="00033022" w:rsidRPr="00C27413" w:rsidRDefault="00033022" w:rsidP="000054FC">
      <w:pPr>
        <w:rPr>
          <w:rFonts w:cs="Times New Roman"/>
          <w:szCs w:val="24"/>
          <w:lang w:val="en-US"/>
        </w:rPr>
      </w:pPr>
      <w:r w:rsidRPr="00BD2FEF">
        <w:rPr>
          <w:rFonts w:cs="Times New Roman"/>
          <w:szCs w:val="24"/>
          <w:lang w:val="en-US"/>
        </w:rPr>
        <w:t>The Poisson process is widely used, because of its time-independency</w:t>
      </w:r>
      <w:r w:rsidR="00460D81" w:rsidRPr="00BD2FEF">
        <w:rPr>
          <w:rFonts w:cs="Times New Roman"/>
          <w:szCs w:val="24"/>
          <w:lang w:val="en-US"/>
        </w:rPr>
        <w:t xml:space="preserve">. Time-independent </w:t>
      </w:r>
      <w:r w:rsidR="00BD2FEF" w:rsidRPr="00BD2FEF">
        <w:rPr>
          <w:rFonts w:cs="Times New Roman"/>
          <w:szCs w:val="24"/>
          <w:lang w:val="en-US"/>
        </w:rPr>
        <w:t>behavior</w:t>
      </w:r>
      <w:r w:rsidR="00460D81" w:rsidRPr="00BD2FEF">
        <w:rPr>
          <w:rFonts w:cs="Times New Roman"/>
          <w:szCs w:val="24"/>
          <w:lang w:val="en-US"/>
        </w:rPr>
        <w:t xml:space="preserve"> means that the probability of future event is unaffected by how much time has passed since the last event, i.e. a memoryless process</w:t>
      </w:r>
      <w:r w:rsidRPr="00BD2FEF">
        <w:rPr>
          <w:rFonts w:cs="Times New Roman"/>
          <w:szCs w:val="24"/>
          <w:lang w:val="en-US"/>
        </w:rPr>
        <w:t xml:space="preserve"> (conceptually important)</w:t>
      </w:r>
      <w:r w:rsidR="00460D81" w:rsidRPr="00BD2FEF">
        <w:rPr>
          <w:rFonts w:cs="Times New Roman"/>
          <w:szCs w:val="24"/>
          <w:lang w:val="en-US"/>
        </w:rPr>
        <w:t>. It is</w:t>
      </w:r>
      <w:r w:rsidRPr="00BD2FEF">
        <w:rPr>
          <w:rFonts w:cs="Times New Roman"/>
          <w:szCs w:val="24"/>
          <w:lang w:val="en-US"/>
        </w:rPr>
        <w:t xml:space="preserve"> eas</w:t>
      </w:r>
      <w:r w:rsidR="00460D81" w:rsidRPr="00BD2FEF">
        <w:rPr>
          <w:rFonts w:cs="Times New Roman"/>
          <w:szCs w:val="24"/>
          <w:lang w:val="en-US"/>
        </w:rPr>
        <w:t>y</w:t>
      </w:r>
      <w:r w:rsidRPr="00BD2FEF">
        <w:rPr>
          <w:rFonts w:cs="Times New Roman"/>
          <w:szCs w:val="24"/>
          <w:lang w:val="en-US"/>
        </w:rPr>
        <w:t xml:space="preserve"> to compute</w:t>
      </w:r>
      <w:r w:rsidR="00460D81" w:rsidRPr="00BD2FEF">
        <w:rPr>
          <w:rFonts w:cs="Times New Roman"/>
          <w:szCs w:val="24"/>
          <w:lang w:val="en-US"/>
        </w:rPr>
        <w:t xml:space="preserve">, because it only needs </w:t>
      </w:r>
      <w:r w:rsidR="00EA6607" w:rsidRPr="00BD2FEF">
        <w:rPr>
          <w:rFonts w:cs="Times New Roman"/>
          <w:szCs w:val="24"/>
          <w:lang w:val="en-US"/>
        </w:rPr>
        <w:t>a single parameter (the mean) as input to be complete. T</w:t>
      </w:r>
      <w:r w:rsidRPr="00BD2FEF">
        <w:rPr>
          <w:rFonts w:cs="Times New Roman"/>
          <w:szCs w:val="24"/>
          <w:lang w:val="en-US"/>
        </w:rPr>
        <w:t>here are several systems in earthq</w:t>
      </w:r>
      <w:r w:rsidR="00817D2E" w:rsidRPr="00BD2FEF">
        <w:rPr>
          <w:rFonts w:cs="Times New Roman"/>
          <w:szCs w:val="24"/>
          <w:lang w:val="en-US"/>
        </w:rPr>
        <w:t>uake</w:t>
      </w:r>
      <w:r w:rsidR="00617BC1">
        <w:rPr>
          <w:rFonts w:cs="Times New Roman"/>
          <w:szCs w:val="24"/>
          <w:lang w:val="en-US"/>
        </w:rPr>
        <w:t>-</w:t>
      </w:r>
      <w:r w:rsidR="00817D2E" w:rsidRPr="00BD2FEF">
        <w:rPr>
          <w:rFonts w:cs="Times New Roman"/>
          <w:szCs w:val="24"/>
          <w:lang w:val="en-US"/>
        </w:rPr>
        <w:t>related sciences in which P</w:t>
      </w:r>
      <w:r w:rsidRPr="00BD2FEF">
        <w:rPr>
          <w:rFonts w:cs="Times New Roman"/>
          <w:szCs w:val="24"/>
          <w:lang w:val="en-US"/>
        </w:rPr>
        <w:t xml:space="preserve">oissonian </w:t>
      </w:r>
      <w:r w:rsidR="00B84A50" w:rsidRPr="00BD2FEF">
        <w:rPr>
          <w:rFonts w:cs="Times New Roman"/>
          <w:szCs w:val="24"/>
          <w:lang w:val="en-US"/>
        </w:rPr>
        <w:t>behavior</w:t>
      </w:r>
      <w:r w:rsidRPr="00BD2FEF">
        <w:rPr>
          <w:rFonts w:cs="Times New Roman"/>
          <w:szCs w:val="24"/>
          <w:lang w:val="en-US"/>
        </w:rPr>
        <w:t xml:space="preserve"> is observed</w:t>
      </w:r>
      <w:r w:rsidR="00EA6607" w:rsidRPr="00BD2FEF">
        <w:rPr>
          <w:rFonts w:cs="Times New Roman"/>
          <w:szCs w:val="24"/>
          <w:lang w:val="en-US"/>
        </w:rPr>
        <w:t>, for example:</w:t>
      </w:r>
    </w:p>
    <w:p w14:paraId="4C013740" w14:textId="03ED1A56" w:rsidR="00033022" w:rsidRPr="00BD2FEF" w:rsidRDefault="00033022" w:rsidP="000054FC">
      <w:pPr>
        <w:pStyle w:val="ListParagraph"/>
        <w:numPr>
          <w:ilvl w:val="0"/>
          <w:numId w:val="3"/>
        </w:numPr>
        <w:rPr>
          <w:rFonts w:cs="Times New Roman"/>
          <w:szCs w:val="24"/>
          <w:lang w:val="en-US"/>
        </w:rPr>
      </w:pPr>
      <w:r w:rsidRPr="00BD2FEF">
        <w:rPr>
          <w:rFonts w:cs="Times New Roman"/>
          <w:lang w:val="en-US"/>
        </w:rPr>
        <w:t xml:space="preserve">Rapid stress recovery after giant earthquakes indicates the potential of virtually time-independent, i.e. </w:t>
      </w:r>
      <w:r w:rsidR="00817D2E" w:rsidRPr="00BD2FEF">
        <w:rPr>
          <w:rFonts w:cs="Times New Roman"/>
          <w:lang w:val="en-US"/>
        </w:rPr>
        <w:t>P</w:t>
      </w:r>
      <w:r w:rsidRPr="00BD2FEF">
        <w:rPr>
          <w:rFonts w:cs="Times New Roman"/>
          <w:lang w:val="en-US"/>
        </w:rPr>
        <w:t>oissonian, earthquake occurrence on some subduction zones</w:t>
      </w:r>
      <w:r w:rsidR="005524B6">
        <w:rPr>
          <w:rFonts w:cs="Times New Roman"/>
          <w:lang w:val="en-US"/>
        </w:rPr>
        <w:t xml:space="preserve"> </w:t>
      </w:r>
      <w:r w:rsidR="005524B6" w:rsidRPr="005524B6">
        <w:rPr>
          <w:rFonts w:cs="Times New Roman"/>
          <w:color w:val="4F81BD" w:themeColor="accent1"/>
          <w:lang w:val="en-US"/>
        </w:rPr>
        <w:t>(Tormann et al., 2015)</w:t>
      </w:r>
      <w:r w:rsidRPr="00C27413">
        <w:rPr>
          <w:rFonts w:cs="Times New Roman"/>
          <w:lang w:val="en-US"/>
        </w:rPr>
        <w:t>.</w:t>
      </w:r>
    </w:p>
    <w:p w14:paraId="65B16040" w14:textId="4543F6C3" w:rsidR="00033022" w:rsidRPr="00BD2FEF" w:rsidRDefault="00033022" w:rsidP="000054FC">
      <w:pPr>
        <w:pStyle w:val="ListParagraph"/>
        <w:numPr>
          <w:ilvl w:val="0"/>
          <w:numId w:val="3"/>
        </w:numPr>
        <w:rPr>
          <w:rFonts w:cs="Times New Roman"/>
          <w:color w:val="000000" w:themeColor="text1"/>
          <w:lang w:val="en-US"/>
        </w:rPr>
      </w:pPr>
      <w:r w:rsidRPr="00BD2FEF">
        <w:rPr>
          <w:rFonts w:cs="Times New Roman"/>
          <w:szCs w:val="24"/>
          <w:lang w:val="en-US"/>
        </w:rPr>
        <w:t>The</w:t>
      </w:r>
      <w:r w:rsidR="00817D2E" w:rsidRPr="00BD2FEF">
        <w:rPr>
          <w:rFonts w:cs="Times New Roman"/>
          <w:szCs w:val="24"/>
          <w:lang w:val="en-US"/>
        </w:rPr>
        <w:t xml:space="preserve"> earthquake catalogue suggests P</w:t>
      </w:r>
      <w:r w:rsidRPr="00BD2FEF">
        <w:rPr>
          <w:rFonts w:cs="Times New Roman"/>
          <w:szCs w:val="24"/>
          <w:lang w:val="en-US"/>
        </w:rPr>
        <w:t xml:space="preserve">oissonian </w:t>
      </w:r>
      <w:r w:rsidR="00B84A50" w:rsidRPr="00BD2FEF">
        <w:rPr>
          <w:rFonts w:cs="Times New Roman"/>
          <w:szCs w:val="24"/>
          <w:lang w:val="en-US"/>
        </w:rPr>
        <w:t>behavior</w:t>
      </w:r>
      <w:r w:rsidRPr="00BD2FEF">
        <w:rPr>
          <w:rFonts w:cs="Times New Roman"/>
          <w:szCs w:val="24"/>
          <w:lang w:val="en-US"/>
        </w:rPr>
        <w:t xml:space="preserve"> of global M9 earthquakes</w:t>
      </w:r>
      <w:r w:rsidR="005524B6">
        <w:rPr>
          <w:rFonts w:cs="Times New Roman"/>
          <w:szCs w:val="24"/>
          <w:lang w:val="en-US"/>
        </w:rPr>
        <w:t xml:space="preserve"> </w:t>
      </w:r>
      <w:r w:rsidR="005524B6" w:rsidRPr="005524B6">
        <w:rPr>
          <w:rFonts w:cs="Times New Roman"/>
          <w:color w:val="4F81BD" w:themeColor="accent1"/>
          <w:szCs w:val="24"/>
          <w:lang w:val="en-US"/>
        </w:rPr>
        <w:t>(McCaffrey, 2008)</w:t>
      </w:r>
      <w:r w:rsidRPr="00C27413">
        <w:rPr>
          <w:rFonts w:cs="Times New Roman"/>
          <w:szCs w:val="24"/>
          <w:lang w:val="en-US"/>
        </w:rPr>
        <w:t>.</w:t>
      </w:r>
    </w:p>
    <w:p w14:paraId="60C65476" w14:textId="63617413" w:rsidR="00033022" w:rsidRPr="00BD2FEF" w:rsidRDefault="00033022" w:rsidP="000054FC">
      <w:pPr>
        <w:pStyle w:val="ListParagraph"/>
        <w:numPr>
          <w:ilvl w:val="0"/>
          <w:numId w:val="3"/>
        </w:numPr>
        <w:rPr>
          <w:rFonts w:cs="Times New Roman"/>
          <w:color w:val="000000" w:themeColor="text1"/>
          <w:lang w:val="en-US"/>
        </w:rPr>
      </w:pPr>
      <w:r w:rsidRPr="00BD2FEF">
        <w:rPr>
          <w:rFonts w:cs="Times New Roman"/>
          <w:szCs w:val="24"/>
          <w:lang w:val="en-US"/>
        </w:rPr>
        <w:t xml:space="preserve">Seismoturbidites in Lake </w:t>
      </w:r>
      <w:r w:rsidR="00817D2E" w:rsidRPr="00BD2FEF">
        <w:rPr>
          <w:rFonts w:cs="Times New Roman"/>
          <w:szCs w:val="24"/>
          <w:lang w:val="en-US"/>
        </w:rPr>
        <w:t>Tutira, New Zealand, exhibit a P</w:t>
      </w:r>
      <w:r w:rsidRPr="00BD2FEF">
        <w:rPr>
          <w:rFonts w:cs="Times New Roman"/>
          <w:szCs w:val="24"/>
          <w:lang w:val="en-US"/>
        </w:rPr>
        <w:t>oissonian recurrence pattern</w:t>
      </w:r>
      <w:r w:rsidR="005524B6">
        <w:rPr>
          <w:rFonts w:cs="Times New Roman"/>
          <w:szCs w:val="24"/>
          <w:lang w:val="en-US"/>
        </w:rPr>
        <w:t xml:space="preserve"> </w:t>
      </w:r>
      <w:r w:rsidR="005524B6" w:rsidRPr="005524B6">
        <w:rPr>
          <w:rFonts w:cs="Times New Roman"/>
          <w:color w:val="4F81BD" w:themeColor="accent1"/>
          <w:szCs w:val="24"/>
          <w:lang w:val="en-US"/>
        </w:rPr>
        <w:t>(Gomez et al., 2015)</w:t>
      </w:r>
      <w:r w:rsidRPr="00C27413">
        <w:rPr>
          <w:rFonts w:cs="Times New Roman"/>
          <w:szCs w:val="24"/>
          <w:lang w:val="en-US"/>
        </w:rPr>
        <w:t>.</w:t>
      </w:r>
    </w:p>
    <w:p w14:paraId="4938DB72" w14:textId="15231958" w:rsidR="00033022" w:rsidRPr="00BD2FEF" w:rsidRDefault="00C37971" w:rsidP="000054FC">
      <w:pPr>
        <w:rPr>
          <w:rFonts w:cs="Times New Roman"/>
          <w:lang w:val="en-US"/>
        </w:rPr>
      </w:pPr>
      <w:r w:rsidRPr="00BD2FEF">
        <w:rPr>
          <w:rFonts w:cs="Times New Roman"/>
          <w:szCs w:val="24"/>
          <w:lang w:val="en-US"/>
        </w:rPr>
        <w:t>Contrastingly</w:t>
      </w:r>
      <w:r w:rsidR="00033022" w:rsidRPr="00BD2FEF">
        <w:rPr>
          <w:rFonts w:cs="Times New Roman"/>
          <w:szCs w:val="24"/>
          <w:lang w:val="en-US"/>
        </w:rPr>
        <w:t xml:space="preserve">, </w:t>
      </w:r>
      <w:r w:rsidR="00817D2E" w:rsidRPr="00BD2FEF">
        <w:rPr>
          <w:rFonts w:cs="Times New Roman"/>
          <w:lang w:val="en-US"/>
        </w:rPr>
        <w:t>indications for non-P</w:t>
      </w:r>
      <w:r w:rsidR="00033022" w:rsidRPr="00BD2FEF">
        <w:rPr>
          <w:rFonts w:cs="Times New Roman"/>
          <w:lang w:val="en-US"/>
        </w:rPr>
        <w:t>oissonian behavior for tsunami generation and related processes have been observed in a number of settings, which offer other plausible scenario</w:t>
      </w:r>
      <w:r w:rsidR="00817D2E" w:rsidRPr="00BD2FEF">
        <w:rPr>
          <w:rFonts w:cs="Times New Roman"/>
          <w:lang w:val="en-US"/>
        </w:rPr>
        <w:t>s in direct competition to the P</w:t>
      </w:r>
      <w:r w:rsidR="00033022" w:rsidRPr="00BD2FEF">
        <w:rPr>
          <w:rFonts w:cs="Times New Roman"/>
          <w:lang w:val="en-US"/>
        </w:rPr>
        <w:t xml:space="preserve">oissonian model. For example: </w:t>
      </w:r>
    </w:p>
    <w:p w14:paraId="25477470" w14:textId="55176D9F" w:rsidR="00033022" w:rsidRPr="00BD2FEF" w:rsidRDefault="00033022" w:rsidP="000054FC">
      <w:pPr>
        <w:pStyle w:val="ListParagraph"/>
        <w:numPr>
          <w:ilvl w:val="0"/>
          <w:numId w:val="4"/>
        </w:numPr>
        <w:rPr>
          <w:rFonts w:cs="Times New Roman"/>
          <w:lang w:val="en-US"/>
        </w:rPr>
      </w:pPr>
      <w:r w:rsidRPr="00BD2FEF">
        <w:rPr>
          <w:rFonts w:cs="Times New Roman"/>
          <w:lang w:val="en-US"/>
        </w:rPr>
        <w:t>Subduction zones with wide seismogenic zones may rupt</w:t>
      </w:r>
      <w:r w:rsidR="00817D2E" w:rsidRPr="00BD2FEF">
        <w:rPr>
          <w:rFonts w:cs="Times New Roman"/>
          <w:lang w:val="en-US"/>
        </w:rPr>
        <w:t>ure time-dependently</w:t>
      </w:r>
      <w:r w:rsidRPr="00BD2FEF">
        <w:rPr>
          <w:rFonts w:cs="Times New Roman"/>
          <w:lang w:val="en-US"/>
        </w:rPr>
        <w:t xml:space="preserve">, in </w:t>
      </w:r>
      <w:r w:rsidR="0001128C" w:rsidRPr="00BD2FEF">
        <w:rPr>
          <w:rFonts w:cs="Times New Roman"/>
          <w:lang w:val="en-US"/>
        </w:rPr>
        <w:t>“</w:t>
      </w:r>
      <w:r w:rsidRPr="00BD2FEF">
        <w:rPr>
          <w:rFonts w:cs="Times New Roman"/>
          <w:color w:val="000000" w:themeColor="text1"/>
          <w:lang w:val="en-US"/>
        </w:rPr>
        <w:t>supercycles</w:t>
      </w:r>
      <w:r w:rsidR="0001128C" w:rsidRPr="00BD2FEF">
        <w:rPr>
          <w:rFonts w:cs="Times New Roman"/>
          <w:color w:val="000000" w:themeColor="text1"/>
          <w:lang w:val="en-US"/>
        </w:rPr>
        <w:t>”</w:t>
      </w:r>
      <w:r w:rsidR="005524B6">
        <w:rPr>
          <w:rFonts w:cs="Times New Roman"/>
          <w:color w:val="000000" w:themeColor="text1"/>
          <w:lang w:val="en-US"/>
        </w:rPr>
        <w:t xml:space="preserve"> </w:t>
      </w:r>
      <w:r w:rsidR="005524B6" w:rsidRPr="005524B6">
        <w:rPr>
          <w:rFonts w:cs="Times New Roman"/>
          <w:color w:val="4F81BD" w:themeColor="accent1"/>
          <w:lang w:val="en-US"/>
        </w:rPr>
        <w:t>(Goldfinger et al., 2013; Herrendörfer et al., 2015)</w:t>
      </w:r>
      <w:r w:rsidR="00DB14FA" w:rsidRPr="00BD2FEF">
        <w:rPr>
          <w:rFonts w:cs="Times New Roman"/>
          <w:lang w:val="en-US"/>
        </w:rPr>
        <w:t>, i.e. a sequence of earthquakes in short succession</w:t>
      </w:r>
      <w:r w:rsidR="0084614D" w:rsidRPr="00BD2FEF">
        <w:rPr>
          <w:rFonts w:cs="Times New Roman"/>
          <w:lang w:val="en-US"/>
        </w:rPr>
        <w:t xml:space="preserve"> </w:t>
      </w:r>
      <w:r w:rsidR="009405E5">
        <w:rPr>
          <w:rFonts w:cs="Times New Roman"/>
          <w:lang w:val="en-US"/>
        </w:rPr>
        <w:t>is</w:t>
      </w:r>
      <w:r w:rsidR="0084614D" w:rsidRPr="00BD2FEF">
        <w:rPr>
          <w:rFonts w:cs="Times New Roman"/>
          <w:lang w:val="en-US"/>
        </w:rPr>
        <w:t xml:space="preserve"> </w:t>
      </w:r>
      <w:r w:rsidR="00DB14FA" w:rsidRPr="00BD2FEF">
        <w:rPr>
          <w:rFonts w:cs="Times New Roman"/>
          <w:lang w:val="en-US"/>
        </w:rPr>
        <w:t>followed by a</w:t>
      </w:r>
      <w:r w:rsidR="0084614D" w:rsidRPr="00BD2FEF">
        <w:rPr>
          <w:rFonts w:cs="Times New Roman"/>
          <w:lang w:val="en-US"/>
        </w:rPr>
        <w:t>n outsized earthquake</w:t>
      </w:r>
      <w:r w:rsidR="00DB14FA" w:rsidRPr="00BD2FEF">
        <w:rPr>
          <w:rFonts w:cs="Times New Roman"/>
          <w:lang w:val="en-US"/>
        </w:rPr>
        <w:t>.</w:t>
      </w:r>
    </w:p>
    <w:p w14:paraId="6BB92B30" w14:textId="16BE96DF" w:rsidR="003722F5" w:rsidRPr="00BD2FEF" w:rsidRDefault="003722F5" w:rsidP="000054FC">
      <w:pPr>
        <w:pStyle w:val="ListParagraph"/>
        <w:numPr>
          <w:ilvl w:val="0"/>
          <w:numId w:val="4"/>
        </w:numPr>
        <w:rPr>
          <w:rFonts w:cs="Times New Roman"/>
          <w:lang w:val="en-US"/>
        </w:rPr>
      </w:pPr>
      <w:r w:rsidRPr="00BD2FEF">
        <w:rPr>
          <w:rFonts w:cs="Times New Roman"/>
          <w:lang w:val="en-US"/>
        </w:rPr>
        <w:t xml:space="preserve">Earthquakes in West Sumatra </w:t>
      </w:r>
      <w:r w:rsidR="00EA6607" w:rsidRPr="00BD2FEF">
        <w:rPr>
          <w:rFonts w:cs="Times New Roman"/>
          <w:lang w:val="en-US"/>
        </w:rPr>
        <w:t xml:space="preserve">exhibit a different type of </w:t>
      </w:r>
      <w:r w:rsidRPr="00BD2FEF">
        <w:rPr>
          <w:rFonts w:cs="Times New Roman"/>
          <w:lang w:val="en-US"/>
        </w:rPr>
        <w:t>“supercycles”</w:t>
      </w:r>
      <w:r w:rsidR="005524B6">
        <w:rPr>
          <w:rFonts w:cs="Times New Roman"/>
          <w:lang w:val="en-US"/>
        </w:rPr>
        <w:t xml:space="preserve"> </w:t>
      </w:r>
      <w:r w:rsidR="005524B6" w:rsidRPr="005524B6">
        <w:rPr>
          <w:rFonts w:cs="Times New Roman"/>
          <w:color w:val="4F81BD" w:themeColor="accent1"/>
          <w:lang w:val="en-US"/>
        </w:rPr>
        <w:t>(Sieh et al., 2008; Philibosian et al., 2017)</w:t>
      </w:r>
      <w:r w:rsidRPr="00C27413">
        <w:rPr>
          <w:rFonts w:cs="Times New Roman"/>
          <w:lang w:val="en-US"/>
        </w:rPr>
        <w:t xml:space="preserve">, </w:t>
      </w:r>
      <w:r w:rsidR="00B84A50" w:rsidRPr="00C27413">
        <w:rPr>
          <w:rFonts w:cs="Times New Roman"/>
          <w:lang w:val="en-US"/>
        </w:rPr>
        <w:t>i</w:t>
      </w:r>
      <w:r w:rsidR="00B84A50" w:rsidRPr="00BD2FEF">
        <w:rPr>
          <w:rFonts w:cs="Times New Roman"/>
          <w:lang w:val="en-US"/>
        </w:rPr>
        <w:t>.e.</w:t>
      </w:r>
      <w:r w:rsidRPr="00BD2FEF">
        <w:rPr>
          <w:rFonts w:cs="Times New Roman"/>
          <w:lang w:val="en-US"/>
        </w:rPr>
        <w:t xml:space="preserve"> a sequence of earthquakes in short succession is followed by a long quiescent phase</w:t>
      </w:r>
      <w:r w:rsidR="002A641A" w:rsidRPr="00BD2FEF">
        <w:rPr>
          <w:rFonts w:cs="Times New Roman"/>
          <w:lang w:val="en-US"/>
        </w:rPr>
        <w:t xml:space="preserve"> with a mean interval of 51.0 ± 61.4 years and a coefficient of variance (C</w:t>
      </w:r>
      <w:r w:rsidR="005822C0" w:rsidRPr="00BD2FEF">
        <w:rPr>
          <w:rFonts w:cs="Times New Roman"/>
          <w:lang w:val="en-US"/>
        </w:rPr>
        <w:t>O</w:t>
      </w:r>
      <w:r w:rsidR="002A641A" w:rsidRPr="00BD2FEF">
        <w:rPr>
          <w:rFonts w:cs="Times New Roman"/>
          <w:lang w:val="en-US"/>
        </w:rPr>
        <w:t>V) of 1.20</w:t>
      </w:r>
      <w:r w:rsidRPr="00BD2FEF">
        <w:rPr>
          <w:rFonts w:cs="Times New Roman"/>
          <w:lang w:val="en-US"/>
        </w:rPr>
        <w:t>.</w:t>
      </w:r>
    </w:p>
    <w:p w14:paraId="6CA37B3B" w14:textId="62560754" w:rsidR="00033022" w:rsidRPr="00BD2FEF" w:rsidRDefault="00033022" w:rsidP="000054FC">
      <w:pPr>
        <w:pStyle w:val="ListParagraph"/>
        <w:numPr>
          <w:ilvl w:val="0"/>
          <w:numId w:val="4"/>
        </w:numPr>
        <w:rPr>
          <w:rFonts w:cs="Times New Roman"/>
          <w:color w:val="000000" w:themeColor="text1"/>
          <w:lang w:val="en-US"/>
        </w:rPr>
      </w:pPr>
      <w:r w:rsidRPr="00C27413">
        <w:rPr>
          <w:rFonts w:cs="Times New Roman"/>
          <w:color w:val="000000" w:themeColor="text1"/>
          <w:lang w:val="en-US"/>
        </w:rPr>
        <w:t>Major</w:t>
      </w:r>
      <w:r w:rsidRPr="00BD2FEF">
        <w:rPr>
          <w:rFonts w:cs="Times New Roman"/>
          <w:color w:val="000000" w:themeColor="text1"/>
          <w:lang w:val="en-US"/>
        </w:rPr>
        <w:t xml:space="preserve"> subduction zone earthquakes on the Japan Trench appear to occur </w:t>
      </w:r>
      <w:r w:rsidR="0001128C" w:rsidRPr="00BD2FEF">
        <w:rPr>
          <w:rFonts w:cs="Times New Roman"/>
          <w:color w:val="000000" w:themeColor="text1"/>
          <w:lang w:val="en-US"/>
        </w:rPr>
        <w:t>“</w:t>
      </w:r>
      <w:r w:rsidRPr="00BD2FEF">
        <w:rPr>
          <w:rFonts w:cs="Times New Roman"/>
          <w:color w:val="000000" w:themeColor="text1"/>
          <w:lang w:val="en-US"/>
        </w:rPr>
        <w:t>a-periodically</w:t>
      </w:r>
      <w:r w:rsidR="0001128C" w:rsidRPr="00BD2FEF">
        <w:rPr>
          <w:rFonts w:cs="Times New Roman"/>
          <w:color w:val="000000" w:themeColor="text1"/>
          <w:lang w:val="en-US"/>
        </w:rPr>
        <w:t>”</w:t>
      </w:r>
      <w:r w:rsidR="005524B6">
        <w:rPr>
          <w:rFonts w:cs="Times New Roman"/>
          <w:color w:val="000000" w:themeColor="text1"/>
          <w:lang w:val="en-US"/>
        </w:rPr>
        <w:t xml:space="preserve"> </w:t>
      </w:r>
      <w:r w:rsidR="005524B6" w:rsidRPr="005524B6">
        <w:rPr>
          <w:rFonts w:cs="Times New Roman"/>
          <w:color w:val="4F81BD" w:themeColor="accent1"/>
          <w:lang w:val="en-US"/>
        </w:rPr>
        <w:t>(Sawai et al., 2009)</w:t>
      </w:r>
      <w:r w:rsidR="00DB14FA" w:rsidRPr="00C27413">
        <w:rPr>
          <w:rFonts w:cs="Times New Roman"/>
          <w:color w:val="000000" w:themeColor="text1"/>
          <w:lang w:val="en-US"/>
        </w:rPr>
        <w:t xml:space="preserve">, i.e. </w:t>
      </w:r>
      <w:r w:rsidR="005822C0" w:rsidRPr="00BD2FEF">
        <w:rPr>
          <w:rFonts w:cs="Times New Roman"/>
          <w:color w:val="000000" w:themeColor="text1"/>
          <w:lang w:val="en-US"/>
        </w:rPr>
        <w:t xml:space="preserve">inter-event periods ranging from 100 to 800 years with a mean inter-event periods of </w:t>
      </w:r>
      <w:r w:rsidR="00DC4526" w:rsidRPr="00BD2FEF">
        <w:rPr>
          <w:rFonts w:cs="Times New Roman"/>
          <w:color w:val="000000" w:themeColor="text1"/>
          <w:lang w:val="en-US"/>
        </w:rPr>
        <w:t>323.6 ± 185.7 years and 322.3 ± 224.4 years with COVs of 0.57 and 0.70, respectively</w:t>
      </w:r>
      <w:r w:rsidR="00E1345B" w:rsidRPr="00BD2FEF">
        <w:rPr>
          <w:rFonts w:cs="Times New Roman"/>
          <w:color w:val="000000" w:themeColor="text1"/>
          <w:lang w:val="en-US"/>
        </w:rPr>
        <w:t>.</w:t>
      </w:r>
    </w:p>
    <w:p w14:paraId="0252A823" w14:textId="7811FBCB" w:rsidR="00DC4526" w:rsidRPr="00BD2FEF" w:rsidRDefault="00033022" w:rsidP="000054FC">
      <w:pPr>
        <w:pStyle w:val="ListParagraph"/>
        <w:numPr>
          <w:ilvl w:val="0"/>
          <w:numId w:val="4"/>
        </w:numPr>
        <w:rPr>
          <w:rFonts w:cs="Times New Roman"/>
          <w:color w:val="000000" w:themeColor="text1"/>
          <w:lang w:val="en-US"/>
        </w:rPr>
      </w:pPr>
      <w:r w:rsidRPr="00BD2FEF">
        <w:rPr>
          <w:rFonts w:cs="Times New Roman"/>
          <w:color w:val="000000" w:themeColor="text1"/>
          <w:lang w:val="en-US"/>
        </w:rPr>
        <w:t xml:space="preserve">Major earthquakes on an isolated </w:t>
      </w:r>
      <w:r w:rsidR="00987F05" w:rsidRPr="00BD2FEF">
        <w:rPr>
          <w:rFonts w:cs="Times New Roman"/>
          <w:color w:val="000000" w:themeColor="text1"/>
          <w:lang w:val="en-US"/>
        </w:rPr>
        <w:t xml:space="preserve">transform </w:t>
      </w:r>
      <w:r w:rsidRPr="00BD2FEF">
        <w:rPr>
          <w:rFonts w:cs="Times New Roman"/>
          <w:color w:val="000000" w:themeColor="text1"/>
          <w:lang w:val="en-US"/>
        </w:rPr>
        <w:t>plate boundary appear to occur regularly</w:t>
      </w:r>
      <w:r w:rsidR="005524B6">
        <w:rPr>
          <w:rFonts w:cs="Times New Roman"/>
          <w:color w:val="000000" w:themeColor="text1"/>
          <w:lang w:val="en-US"/>
        </w:rPr>
        <w:t xml:space="preserve"> </w:t>
      </w:r>
      <w:r w:rsidR="005524B6" w:rsidRPr="005524B6">
        <w:rPr>
          <w:rFonts w:cs="Times New Roman"/>
          <w:color w:val="4F81BD" w:themeColor="accent1"/>
          <w:lang w:val="en-US"/>
        </w:rPr>
        <w:t>(Berryman et al., 2012)</w:t>
      </w:r>
      <w:r w:rsidR="00E1345B" w:rsidRPr="00BD2FEF">
        <w:rPr>
          <w:rFonts w:cs="Times New Roman"/>
          <w:color w:val="000000" w:themeColor="text1"/>
          <w:lang w:val="en-US"/>
        </w:rPr>
        <w:t>, i.e. with a mean interval of 329 ± 68 years with a COV of 0.33</w:t>
      </w:r>
      <w:r w:rsidRPr="00BD2FEF">
        <w:rPr>
          <w:rFonts w:cs="Times New Roman"/>
          <w:color w:val="000000" w:themeColor="text1"/>
          <w:lang w:val="en-US"/>
        </w:rPr>
        <w:t>.</w:t>
      </w:r>
      <w:r w:rsidR="00042A0C" w:rsidRPr="00BD2FEF">
        <w:rPr>
          <w:rFonts w:cs="Times New Roman"/>
          <w:color w:val="000000" w:themeColor="text1"/>
          <w:lang w:val="en-US"/>
        </w:rPr>
        <w:t xml:space="preserve"> </w:t>
      </w:r>
    </w:p>
    <w:p w14:paraId="2F60894A" w14:textId="27870BF4" w:rsidR="00042A0C" w:rsidRPr="00BD2FEF" w:rsidRDefault="00DC4526" w:rsidP="000054FC">
      <w:pPr>
        <w:pStyle w:val="ListParagraph"/>
        <w:numPr>
          <w:ilvl w:val="0"/>
          <w:numId w:val="4"/>
        </w:numPr>
        <w:rPr>
          <w:rFonts w:cs="Times New Roman"/>
          <w:color w:val="000000" w:themeColor="text1"/>
          <w:lang w:val="en-US"/>
        </w:rPr>
      </w:pPr>
      <w:r w:rsidRPr="00C27413">
        <w:rPr>
          <w:rFonts w:cs="Times New Roman"/>
          <w:color w:val="000000" w:themeColor="text1"/>
          <w:lang w:val="en-US"/>
        </w:rPr>
        <w:lastRenderedPageBreak/>
        <w:t>Larger earthquakes in Chile appear to occur “more periodically”</w:t>
      </w:r>
      <w:r w:rsidR="005524B6">
        <w:rPr>
          <w:rFonts w:cs="Times New Roman"/>
          <w:color w:val="000000" w:themeColor="text1"/>
          <w:lang w:val="en-US"/>
        </w:rPr>
        <w:t xml:space="preserve"> </w:t>
      </w:r>
      <w:r w:rsidR="005524B6" w:rsidRPr="005524B6">
        <w:rPr>
          <w:rFonts w:cs="Times New Roman"/>
          <w:color w:val="4F81BD" w:themeColor="accent1"/>
          <w:lang w:val="en-US"/>
        </w:rPr>
        <w:t>(Moernaut et al., 2018)</w:t>
      </w:r>
      <w:r w:rsidRPr="00BD2FEF">
        <w:rPr>
          <w:rFonts w:cs="Times New Roman"/>
          <w:color w:val="000000" w:themeColor="text1"/>
          <w:lang w:val="en-US"/>
        </w:rPr>
        <w:t>, i.e. with a mean interval of 291.8 ± 92.9 years with a COV of 0.32.</w:t>
      </w:r>
    </w:p>
    <w:p w14:paraId="56BB704E" w14:textId="40FA4097" w:rsidR="00033022" w:rsidRPr="00BD2FEF" w:rsidRDefault="00042A0C" w:rsidP="000054FC">
      <w:pPr>
        <w:pStyle w:val="ListParagraph"/>
        <w:numPr>
          <w:ilvl w:val="0"/>
          <w:numId w:val="4"/>
        </w:numPr>
        <w:rPr>
          <w:rFonts w:cs="Times New Roman"/>
          <w:color w:val="000000" w:themeColor="text1"/>
          <w:lang w:val="en-US"/>
        </w:rPr>
      </w:pPr>
      <w:r w:rsidRPr="00C27413">
        <w:rPr>
          <w:rFonts w:cs="Times New Roman"/>
          <w:lang w:val="en-US"/>
        </w:rPr>
        <w:t>Major</w:t>
      </w:r>
      <w:r w:rsidRPr="00BD2FEF">
        <w:rPr>
          <w:rFonts w:cs="Times New Roman"/>
          <w:color w:val="000000" w:themeColor="text1"/>
          <w:lang w:val="en-US"/>
        </w:rPr>
        <w:t xml:space="preserve"> subduction zone earthquakes in Alaska appear to occur “periodically”</w:t>
      </w:r>
      <w:r w:rsidR="005524B6">
        <w:rPr>
          <w:rFonts w:cs="Times New Roman"/>
          <w:color w:val="000000" w:themeColor="text1"/>
          <w:lang w:val="en-US"/>
        </w:rPr>
        <w:t xml:space="preserve"> </w:t>
      </w:r>
      <w:r w:rsidR="005524B6" w:rsidRPr="005524B6">
        <w:rPr>
          <w:rFonts w:cs="Times New Roman"/>
          <w:color w:val="4F81BD" w:themeColor="accent1"/>
          <w:lang w:val="en-US"/>
        </w:rPr>
        <w:t>(Shennan et al., 2014)</w:t>
      </w:r>
      <w:r w:rsidRPr="00C27413">
        <w:rPr>
          <w:rFonts w:cs="Times New Roman"/>
          <w:color w:val="000000" w:themeColor="text1"/>
          <w:lang w:val="en-US"/>
        </w:rPr>
        <w:t>, i.e. with a mean interval of 5</w:t>
      </w:r>
      <w:r w:rsidR="00DC4526" w:rsidRPr="00BD2FEF">
        <w:rPr>
          <w:rFonts w:cs="Times New Roman"/>
          <w:color w:val="000000" w:themeColor="text1"/>
          <w:lang w:val="en-US"/>
        </w:rPr>
        <w:t>94.0</w:t>
      </w:r>
      <w:r w:rsidRPr="00BD2FEF">
        <w:rPr>
          <w:rFonts w:cs="Times New Roman"/>
          <w:color w:val="000000" w:themeColor="text1"/>
          <w:lang w:val="en-US"/>
        </w:rPr>
        <w:t xml:space="preserve"> ± </w:t>
      </w:r>
      <w:r w:rsidR="00DC4526" w:rsidRPr="00BD2FEF">
        <w:rPr>
          <w:rFonts w:cs="Times New Roman"/>
          <w:color w:val="000000" w:themeColor="text1"/>
          <w:lang w:val="en-US"/>
        </w:rPr>
        <w:t>156.1</w:t>
      </w:r>
      <w:r w:rsidRPr="00BD2FEF">
        <w:rPr>
          <w:rFonts w:cs="Times New Roman"/>
          <w:color w:val="000000" w:themeColor="text1"/>
          <w:lang w:val="en-US"/>
        </w:rPr>
        <w:t xml:space="preserve"> years</w:t>
      </w:r>
      <w:r w:rsidR="00DC4526" w:rsidRPr="00BD2FEF">
        <w:rPr>
          <w:rFonts w:cs="Times New Roman"/>
          <w:color w:val="000000" w:themeColor="text1"/>
          <w:lang w:val="en-US"/>
        </w:rPr>
        <w:t xml:space="preserve"> with a COV of 0.26</w:t>
      </w:r>
      <w:r w:rsidRPr="00BD2FEF">
        <w:rPr>
          <w:rFonts w:cs="Times New Roman"/>
          <w:color w:val="000000" w:themeColor="text1"/>
          <w:lang w:val="en-US"/>
        </w:rPr>
        <w:t xml:space="preserve">. </w:t>
      </w:r>
    </w:p>
    <w:p w14:paraId="32641F9D" w14:textId="5DFEE286" w:rsidR="00720A27" w:rsidRPr="00BD2FEF" w:rsidRDefault="00720A27" w:rsidP="000054FC">
      <w:pPr>
        <w:rPr>
          <w:rFonts w:cs="Times New Roman"/>
          <w:lang w:val="en-US"/>
        </w:rPr>
      </w:pPr>
      <w:r w:rsidRPr="00BD2FEF">
        <w:rPr>
          <w:rFonts w:cs="Times New Roman"/>
          <w:lang w:val="en-US"/>
        </w:rPr>
        <w:t>The descriptive statistical terminology</w:t>
      </w:r>
      <w:r w:rsidR="00FB5014" w:rsidRPr="00BD2FEF">
        <w:rPr>
          <w:rFonts w:cs="Times New Roman"/>
          <w:lang w:val="en-US"/>
        </w:rPr>
        <w:t>, e.g.</w:t>
      </w:r>
      <w:r w:rsidRPr="00BD2FEF">
        <w:rPr>
          <w:rFonts w:cs="Times New Roman"/>
          <w:lang w:val="en-US"/>
        </w:rPr>
        <w:t xml:space="preserve"> </w:t>
      </w:r>
      <w:r w:rsidR="00FB5014" w:rsidRPr="00BD2FEF">
        <w:rPr>
          <w:rFonts w:cs="Times New Roman"/>
          <w:lang w:val="en-US"/>
        </w:rPr>
        <w:t xml:space="preserve">“supercycles”, “periodically”, “a-periodically” or “regularly”, </w:t>
      </w:r>
      <w:r w:rsidRPr="00BD2FEF">
        <w:rPr>
          <w:rFonts w:cs="Times New Roman"/>
          <w:lang w:val="en-US"/>
        </w:rPr>
        <w:t xml:space="preserve">used for recurrence patterns in the cited publications is </w:t>
      </w:r>
      <w:r w:rsidR="00FB5014" w:rsidRPr="00BD2FEF">
        <w:rPr>
          <w:rFonts w:cs="Times New Roman"/>
          <w:lang w:val="en-US"/>
        </w:rPr>
        <w:t xml:space="preserve">unavoidably </w:t>
      </w:r>
      <w:r w:rsidRPr="00BD2FEF">
        <w:rPr>
          <w:rFonts w:cs="Times New Roman"/>
          <w:lang w:val="en-US"/>
        </w:rPr>
        <w:t>vague</w:t>
      </w:r>
      <w:r w:rsidR="00FB5014" w:rsidRPr="00BD2FEF">
        <w:rPr>
          <w:rFonts w:cs="Times New Roman"/>
          <w:lang w:val="en-US"/>
        </w:rPr>
        <w:t xml:space="preserve"> as is</w:t>
      </w:r>
      <w:r w:rsidRPr="00BD2FEF">
        <w:rPr>
          <w:rFonts w:cs="Times New Roman"/>
          <w:lang w:val="en-US"/>
        </w:rPr>
        <w:t xml:space="preserve"> the terminology in this pu</w:t>
      </w:r>
      <w:r w:rsidR="00FB5014" w:rsidRPr="00BD2FEF">
        <w:rPr>
          <w:rFonts w:cs="Times New Roman"/>
          <w:lang w:val="en-US"/>
        </w:rPr>
        <w:t xml:space="preserve">blication, because </w:t>
      </w:r>
      <w:r w:rsidRPr="00BD2FEF">
        <w:rPr>
          <w:rFonts w:cs="Times New Roman"/>
          <w:lang w:val="en-US"/>
        </w:rPr>
        <w:t xml:space="preserve">threshold values </w:t>
      </w:r>
      <w:r w:rsidR="00FB5014" w:rsidRPr="00BD2FEF">
        <w:rPr>
          <w:rFonts w:cs="Times New Roman"/>
          <w:lang w:val="en-US"/>
        </w:rPr>
        <w:t>are not clearly defined</w:t>
      </w:r>
      <w:r w:rsidRPr="00BD2FEF">
        <w:rPr>
          <w:rFonts w:cs="Times New Roman"/>
          <w:lang w:val="en-US"/>
        </w:rPr>
        <w:t>.</w:t>
      </w:r>
      <w:r w:rsidR="00BC5D76" w:rsidRPr="00BD2FEF">
        <w:rPr>
          <w:rFonts w:cs="Times New Roman"/>
          <w:lang w:val="en-US"/>
        </w:rPr>
        <w:t xml:space="preserve"> </w:t>
      </w:r>
      <w:r w:rsidR="002A275A" w:rsidRPr="00BD2FEF">
        <w:rPr>
          <w:rFonts w:cs="Times New Roman"/>
          <w:lang w:val="en-US"/>
        </w:rPr>
        <w:t>Another source of potential confusion is that mean inter-event periods are reported in scientific publications with small sample sizes because they are the best available estimate. However, the usually reported standard deviation (or 2</w:t>
      </w:r>
      <w:r w:rsidR="002A275A" w:rsidRPr="00BD2FEF">
        <w:rPr>
          <w:rFonts w:cs="Times New Roman"/>
          <w:color w:val="000000"/>
          <w:lang w:val="en-US"/>
        </w:rPr>
        <w:t>σ</w:t>
      </w:r>
      <w:r w:rsidR="002A275A" w:rsidRPr="00C27413">
        <w:rPr>
          <w:rFonts w:cs="Times New Roman"/>
          <w:lang w:val="en-US"/>
        </w:rPr>
        <w:t xml:space="preserve">-range) reflects the variability in the small dataset and not </w:t>
      </w:r>
      <w:r w:rsidR="009405E5" w:rsidRPr="00C27413">
        <w:rPr>
          <w:rFonts w:cs="Times New Roman"/>
          <w:lang w:val="en-US"/>
        </w:rPr>
        <w:t xml:space="preserve">how </w:t>
      </w:r>
      <w:r w:rsidR="009405E5">
        <w:rPr>
          <w:rFonts w:cs="Times New Roman"/>
          <w:lang w:val="en-US"/>
        </w:rPr>
        <w:t xml:space="preserve">well this value describes the inherent variability of the </w:t>
      </w:r>
      <w:r w:rsidR="009405E5" w:rsidRPr="00C27413">
        <w:rPr>
          <w:rFonts w:cs="Times New Roman"/>
          <w:lang w:val="en-US"/>
        </w:rPr>
        <w:t>underlying process</w:t>
      </w:r>
      <w:r w:rsidR="002A275A" w:rsidRPr="00BD2FEF">
        <w:rPr>
          <w:rFonts w:cs="Times New Roman"/>
          <w:lang w:val="en-US"/>
        </w:rPr>
        <w:t>.</w:t>
      </w:r>
    </w:p>
    <w:p w14:paraId="319055D0" w14:textId="7F160128" w:rsidR="006E649D" w:rsidRPr="00BD2FEF" w:rsidRDefault="00CB07E0" w:rsidP="000054FC">
      <w:pPr>
        <w:rPr>
          <w:rFonts w:cs="Times New Roman"/>
          <w:lang w:val="en-US"/>
        </w:rPr>
      </w:pPr>
      <w:r w:rsidRPr="00BD2FEF">
        <w:rPr>
          <w:rFonts w:cs="Times New Roman"/>
          <w:lang w:val="en-US"/>
        </w:rPr>
        <w:t xml:space="preserve">Historical documentation of tsunami occurrence </w:t>
      </w:r>
      <w:r w:rsidR="00AB3869" w:rsidRPr="00BD2FEF">
        <w:rPr>
          <w:rFonts w:cs="Times New Roman"/>
          <w:lang w:val="en-US"/>
        </w:rPr>
        <w:t xml:space="preserve">is </w:t>
      </w:r>
      <w:r w:rsidRPr="00BD2FEF">
        <w:rPr>
          <w:rFonts w:cs="Times New Roman"/>
          <w:lang w:val="en-US"/>
        </w:rPr>
        <w:t>often used to constrain the mean recurrence interval of large tsunami inundations, improving</w:t>
      </w:r>
      <w:r w:rsidR="006E649D" w:rsidRPr="00BD2FEF">
        <w:rPr>
          <w:rFonts w:cs="Times New Roman"/>
          <w:lang w:val="en-US"/>
        </w:rPr>
        <w:t xml:space="preserve"> </w:t>
      </w:r>
      <w:r w:rsidR="00840276" w:rsidRPr="00BD2FEF">
        <w:rPr>
          <w:rFonts w:cs="Times New Roman"/>
          <w:lang w:val="en-US"/>
        </w:rPr>
        <w:t>hazard</w:t>
      </w:r>
      <w:r w:rsidR="003318DD" w:rsidRPr="00BD2FEF">
        <w:rPr>
          <w:rFonts w:cs="Times New Roman"/>
          <w:lang w:val="en-US"/>
        </w:rPr>
        <w:t xml:space="preserve"> assessments</w:t>
      </w:r>
      <w:r w:rsidRPr="00BD2FEF">
        <w:rPr>
          <w:rFonts w:cs="Times New Roman"/>
          <w:lang w:val="en-US"/>
        </w:rPr>
        <w:t xml:space="preserve">. However, </w:t>
      </w:r>
      <w:r w:rsidR="00CB7020" w:rsidRPr="00BD2FEF">
        <w:rPr>
          <w:rFonts w:cs="Times New Roman"/>
          <w:lang w:val="en-US"/>
        </w:rPr>
        <w:t>PTHA</w:t>
      </w:r>
      <w:r w:rsidR="006E649D" w:rsidRPr="00BD2FEF">
        <w:rPr>
          <w:rFonts w:cs="Times New Roman"/>
          <w:lang w:val="en-US"/>
        </w:rPr>
        <w:t xml:space="preserve">s with </w:t>
      </w:r>
      <w:r w:rsidR="00331402" w:rsidRPr="00BD2FEF">
        <w:rPr>
          <w:rFonts w:cs="Times New Roman"/>
          <w:lang w:val="en-US"/>
        </w:rPr>
        <w:t>paleotsunami data with</w:t>
      </w:r>
      <w:r w:rsidR="006E649D" w:rsidRPr="00BD2FEF">
        <w:rPr>
          <w:rFonts w:cs="Times New Roman"/>
          <w:lang w:val="en-US"/>
        </w:rPr>
        <w:t xml:space="preserve"> complex recurrence pattern</w:t>
      </w:r>
      <w:r w:rsidR="00331402" w:rsidRPr="00BD2FEF">
        <w:rPr>
          <w:rFonts w:cs="Times New Roman"/>
          <w:lang w:val="en-US"/>
        </w:rPr>
        <w:t>s</w:t>
      </w:r>
      <w:r w:rsidR="006E649D" w:rsidRPr="00BD2FEF">
        <w:rPr>
          <w:rFonts w:cs="Times New Roman"/>
          <w:lang w:val="en-US"/>
        </w:rPr>
        <w:t xml:space="preserve"> as input do not </w:t>
      </w:r>
      <w:r w:rsidR="00331402" w:rsidRPr="00BD2FEF">
        <w:rPr>
          <w:rFonts w:cs="Times New Roman"/>
          <w:lang w:val="en-US"/>
        </w:rPr>
        <w:t xml:space="preserve">yet </w:t>
      </w:r>
      <w:r w:rsidR="006E649D" w:rsidRPr="00BD2FEF">
        <w:rPr>
          <w:rFonts w:cs="Times New Roman"/>
          <w:lang w:val="en-US"/>
        </w:rPr>
        <w:t xml:space="preserve">exist. </w:t>
      </w:r>
      <w:r w:rsidR="007F7F1E" w:rsidRPr="00BD2FEF">
        <w:rPr>
          <w:rFonts w:cs="Times New Roman"/>
          <w:lang w:val="en-US"/>
        </w:rPr>
        <w:t>I</w:t>
      </w:r>
      <w:r w:rsidRPr="00BD2FEF">
        <w:rPr>
          <w:rFonts w:cs="Times New Roman"/>
          <w:lang w:val="en-US"/>
        </w:rPr>
        <w:t xml:space="preserve">ncomplete or unreliable </w:t>
      </w:r>
      <w:r w:rsidR="006E649D" w:rsidRPr="00BD2FEF">
        <w:rPr>
          <w:rFonts w:cs="Times New Roman"/>
          <w:lang w:val="en-US"/>
        </w:rPr>
        <w:t xml:space="preserve">historical records and unaccounted variability in recurrence times </w:t>
      </w:r>
      <w:r w:rsidR="00331402" w:rsidRPr="00BD2FEF">
        <w:rPr>
          <w:rFonts w:cs="Times New Roman"/>
          <w:lang w:val="en-US"/>
        </w:rPr>
        <w:t xml:space="preserve">could </w:t>
      </w:r>
      <w:r w:rsidR="00331402" w:rsidRPr="00BD2FEF">
        <w:rPr>
          <w:rFonts w:cs="Times New Roman"/>
          <w:color w:val="000000" w:themeColor="text1"/>
          <w:lang w:val="en-US"/>
        </w:rPr>
        <w:t>lead</w:t>
      </w:r>
      <w:r w:rsidR="006E649D" w:rsidRPr="00BD2FEF">
        <w:rPr>
          <w:rFonts w:cs="Times New Roman"/>
          <w:color w:val="000000" w:themeColor="text1"/>
          <w:lang w:val="en-US"/>
        </w:rPr>
        <w:t xml:space="preserve"> to costly overprotection of coastal areas or to an insufficiently prepared population exposed to a great hazard. </w:t>
      </w:r>
    </w:p>
    <w:p w14:paraId="5E333E93" w14:textId="05FAE64B" w:rsidR="00560F4E" w:rsidRPr="00BD2FEF" w:rsidRDefault="00331402" w:rsidP="000054FC">
      <w:pPr>
        <w:rPr>
          <w:rFonts w:cs="Times New Roman"/>
          <w:color w:val="000000" w:themeColor="text1"/>
          <w:lang w:val="en-US"/>
        </w:rPr>
      </w:pPr>
      <w:r w:rsidRPr="00BD2FEF">
        <w:rPr>
          <w:rFonts w:cs="Times New Roman"/>
          <w:color w:val="000000" w:themeColor="text1"/>
          <w:lang w:val="en-US"/>
        </w:rPr>
        <w:t xml:space="preserve">The geological approach to this problem </w:t>
      </w:r>
      <w:r w:rsidR="003318DD" w:rsidRPr="00BD2FEF">
        <w:rPr>
          <w:rFonts w:cs="Times New Roman"/>
          <w:color w:val="000000" w:themeColor="text1"/>
          <w:lang w:val="en-US"/>
        </w:rPr>
        <w:t xml:space="preserve">of small sample sizes </w:t>
      </w:r>
      <w:r w:rsidRPr="00BD2FEF">
        <w:rPr>
          <w:rFonts w:cs="Times New Roman"/>
          <w:color w:val="000000" w:themeColor="text1"/>
          <w:lang w:val="en-US"/>
        </w:rPr>
        <w:t>is to produce long</w:t>
      </w:r>
      <w:r w:rsidR="003318DD" w:rsidRPr="00BD2FEF">
        <w:rPr>
          <w:rFonts w:cs="Times New Roman"/>
          <w:color w:val="000000" w:themeColor="text1"/>
          <w:lang w:val="en-US"/>
        </w:rPr>
        <w:t>er</w:t>
      </w:r>
      <w:r w:rsidRPr="00BD2FEF">
        <w:rPr>
          <w:rFonts w:cs="Times New Roman"/>
          <w:color w:val="000000" w:themeColor="text1"/>
          <w:lang w:val="en-US"/>
        </w:rPr>
        <w:t xml:space="preserve"> and continuous sedimentary records with dated </w:t>
      </w:r>
      <w:r w:rsidR="005D4578" w:rsidRPr="00BD2FEF">
        <w:rPr>
          <w:rFonts w:cs="Times New Roman"/>
          <w:color w:val="000000" w:themeColor="text1"/>
          <w:lang w:val="en-US"/>
        </w:rPr>
        <w:t xml:space="preserve">event </w:t>
      </w:r>
      <w:r w:rsidRPr="00BD2FEF">
        <w:rPr>
          <w:rFonts w:cs="Times New Roman"/>
          <w:color w:val="000000" w:themeColor="text1"/>
          <w:lang w:val="en-US"/>
        </w:rPr>
        <w:t xml:space="preserve">deposits. </w:t>
      </w:r>
      <w:r w:rsidR="00561E75" w:rsidRPr="00BD2FEF">
        <w:rPr>
          <w:rFonts w:cs="Times New Roman"/>
          <w:lang w:val="en-US"/>
        </w:rPr>
        <w:t>However, even m</w:t>
      </w:r>
      <w:r w:rsidR="005D4578" w:rsidRPr="00BD2FEF">
        <w:rPr>
          <w:rFonts w:cs="Times New Roman"/>
          <w:lang w:val="en-US"/>
        </w:rPr>
        <w:t xml:space="preserve">ost subduction zone paleoseismic and paleotsunami records are also too short, have inaccurate dating, or lack continuity to determine the variability in the recurrence pattern, with few exceptions, like the seismoturbidite records from the Cascadia subduction zone </w:t>
      </w:r>
      <w:r w:rsidR="005524B6" w:rsidRPr="005524B6">
        <w:rPr>
          <w:rFonts w:cs="Times New Roman"/>
          <w:color w:val="4F81BD" w:themeColor="accent1"/>
          <w:lang w:val="en-US"/>
        </w:rPr>
        <w:t>(Goldfinger et al., 2012)</w:t>
      </w:r>
      <w:r w:rsidR="005D4578" w:rsidRPr="00C27413">
        <w:rPr>
          <w:rFonts w:cs="Times New Roman"/>
          <w:lang w:val="en-US"/>
        </w:rPr>
        <w:t xml:space="preserve"> or the Hikurangi margin</w:t>
      </w:r>
      <w:r w:rsidR="005524B6">
        <w:rPr>
          <w:rFonts w:cs="Times New Roman"/>
          <w:lang w:val="en-US"/>
        </w:rPr>
        <w:t xml:space="preserve"> </w:t>
      </w:r>
      <w:r w:rsidR="005524B6" w:rsidRPr="005524B6">
        <w:rPr>
          <w:rFonts w:cs="Times New Roman"/>
          <w:color w:val="4F81BD" w:themeColor="accent1"/>
          <w:lang w:val="en-US"/>
        </w:rPr>
        <w:t>(Pouderoux et al., 2012, 2014; Gomez et al., 2015)</w:t>
      </w:r>
      <w:r w:rsidR="005D4578" w:rsidRPr="00C27413">
        <w:rPr>
          <w:rFonts w:cs="Times New Roman"/>
          <w:lang w:val="en-US"/>
        </w:rPr>
        <w:t>.</w:t>
      </w:r>
      <w:r w:rsidR="005D4578" w:rsidRPr="00BD2FEF">
        <w:rPr>
          <w:rFonts w:cs="Times New Roman"/>
          <w:lang w:val="en-US"/>
        </w:rPr>
        <w:t xml:space="preserve"> </w:t>
      </w:r>
      <w:r w:rsidRPr="00BD2FEF">
        <w:rPr>
          <w:rFonts w:cs="Times New Roman"/>
          <w:color w:val="000000" w:themeColor="text1"/>
          <w:lang w:val="en-US"/>
        </w:rPr>
        <w:t xml:space="preserve">The sensitivity of the depositional environment needs to </w:t>
      </w:r>
      <w:r w:rsidR="003318DD" w:rsidRPr="00BD2FEF">
        <w:rPr>
          <w:rFonts w:cs="Times New Roman"/>
          <w:color w:val="000000" w:themeColor="text1"/>
          <w:lang w:val="en-US"/>
        </w:rPr>
        <w:t xml:space="preserve">be </w:t>
      </w:r>
      <w:r w:rsidR="00C975AE" w:rsidRPr="00BD2FEF">
        <w:rPr>
          <w:rFonts w:cs="Times New Roman"/>
          <w:color w:val="000000" w:themeColor="text1"/>
          <w:lang w:val="en-US"/>
        </w:rPr>
        <w:t xml:space="preserve">stable and </w:t>
      </w:r>
      <w:r w:rsidRPr="00BD2FEF">
        <w:rPr>
          <w:rFonts w:cs="Times New Roman"/>
          <w:color w:val="000000" w:themeColor="text1"/>
          <w:lang w:val="en-US"/>
        </w:rPr>
        <w:t>low enough to record no unwanted sedimenta</w:t>
      </w:r>
      <w:r w:rsidR="0095151D" w:rsidRPr="00BD2FEF">
        <w:rPr>
          <w:rFonts w:cs="Times New Roman"/>
          <w:color w:val="000000" w:themeColor="text1"/>
          <w:lang w:val="en-US"/>
        </w:rPr>
        <w:t>ry signals, e.g. storms, but high</w:t>
      </w:r>
      <w:r w:rsidRPr="00BD2FEF">
        <w:rPr>
          <w:rFonts w:cs="Times New Roman"/>
          <w:color w:val="000000" w:themeColor="text1"/>
          <w:lang w:val="en-US"/>
        </w:rPr>
        <w:t xml:space="preserve"> enough to record each destructive tsunami. </w:t>
      </w:r>
      <w:r w:rsidR="0095151D" w:rsidRPr="00BD2FEF">
        <w:rPr>
          <w:rFonts w:cs="Times New Roman"/>
          <w:color w:val="000000" w:themeColor="text1"/>
          <w:lang w:val="en-US"/>
        </w:rPr>
        <w:t xml:space="preserve">The environment also needs preservation potential for tsunami deposits, so that post-depositional processes do not rework the material. </w:t>
      </w:r>
      <w:r w:rsidRPr="00BD2FEF">
        <w:rPr>
          <w:rFonts w:cs="Times New Roman"/>
          <w:color w:val="000000" w:themeColor="text1"/>
          <w:lang w:val="en-US"/>
        </w:rPr>
        <w:t>The best paleotsunami record</w:t>
      </w:r>
      <w:r w:rsidR="00B31964" w:rsidRPr="00BD2FEF">
        <w:rPr>
          <w:rFonts w:cs="Times New Roman"/>
          <w:color w:val="000000" w:themeColor="text1"/>
          <w:lang w:val="en-US"/>
        </w:rPr>
        <w:t>s</w:t>
      </w:r>
      <w:r w:rsidRPr="00BD2FEF">
        <w:rPr>
          <w:rFonts w:cs="Times New Roman"/>
          <w:color w:val="000000" w:themeColor="text1"/>
          <w:lang w:val="en-US"/>
        </w:rPr>
        <w:t xml:space="preserve"> in this regard have been produced from marshes</w:t>
      </w:r>
      <w:r w:rsidR="005524B6">
        <w:rPr>
          <w:rFonts w:cs="Times New Roman"/>
          <w:color w:val="000000" w:themeColor="text1"/>
          <w:lang w:val="en-US"/>
        </w:rPr>
        <w:t xml:space="preserve"> </w:t>
      </w:r>
      <w:r w:rsidR="005524B6" w:rsidRPr="005524B6">
        <w:rPr>
          <w:rFonts w:cs="Times New Roman"/>
          <w:color w:val="4F81BD" w:themeColor="accent1"/>
          <w:lang w:val="en-US"/>
        </w:rPr>
        <w:t>(Cisternas et al., 2005)</w:t>
      </w:r>
      <w:r w:rsidR="00560F4E" w:rsidRPr="00C27413">
        <w:rPr>
          <w:rFonts w:cs="Times New Roman"/>
          <w:color w:val="000000" w:themeColor="text1"/>
          <w:lang w:val="en-US"/>
        </w:rPr>
        <w:t>, beach ridges</w:t>
      </w:r>
      <w:r w:rsidR="005524B6">
        <w:rPr>
          <w:rFonts w:cs="Times New Roman"/>
          <w:color w:val="000000" w:themeColor="text1"/>
          <w:lang w:val="en-US"/>
        </w:rPr>
        <w:t xml:space="preserve"> </w:t>
      </w:r>
      <w:r w:rsidR="005524B6" w:rsidRPr="005524B6">
        <w:rPr>
          <w:rFonts w:cs="Times New Roman"/>
          <w:color w:val="4F81BD" w:themeColor="accent1"/>
          <w:lang w:val="en-US"/>
        </w:rPr>
        <w:t>(Sawai et al., 2009)</w:t>
      </w:r>
      <w:r w:rsidR="00B31964" w:rsidRPr="00C27413">
        <w:rPr>
          <w:rFonts w:cs="Times New Roman"/>
          <w:color w:val="000000" w:themeColor="text1"/>
          <w:lang w:val="en-US"/>
        </w:rPr>
        <w:t xml:space="preserve">, coastal caves </w:t>
      </w:r>
      <w:r w:rsidR="005524B6" w:rsidRPr="005524B6">
        <w:rPr>
          <w:rFonts w:cs="Times New Roman"/>
          <w:color w:val="4F81BD" w:themeColor="accent1"/>
          <w:lang w:val="en-US"/>
        </w:rPr>
        <w:t>(Rubin et al., 2017)</w:t>
      </w:r>
      <w:r w:rsidR="00560F4E" w:rsidRPr="00C27413">
        <w:rPr>
          <w:rFonts w:cs="Times New Roman"/>
          <w:color w:val="000000" w:themeColor="text1"/>
          <w:lang w:val="en-US"/>
        </w:rPr>
        <w:t xml:space="preserve"> </w:t>
      </w:r>
      <w:r w:rsidRPr="00BD2FEF">
        <w:rPr>
          <w:rFonts w:cs="Times New Roman"/>
          <w:color w:val="000000" w:themeColor="text1"/>
          <w:lang w:val="en-US"/>
        </w:rPr>
        <w:t xml:space="preserve">and coastal lakes </w:t>
      </w:r>
      <w:r w:rsidR="005524B6" w:rsidRPr="005524B6">
        <w:rPr>
          <w:rFonts w:cs="Times New Roman"/>
          <w:color w:val="4F81BD" w:themeColor="accent1"/>
          <w:lang w:val="en-US"/>
        </w:rPr>
        <w:t>(Kelsey et al., 2005; Kempf et al., 2017)</w:t>
      </w:r>
      <w:r w:rsidR="00560F4E" w:rsidRPr="00C27413">
        <w:rPr>
          <w:rFonts w:cs="Times New Roman"/>
          <w:color w:val="000000" w:themeColor="text1"/>
          <w:lang w:val="en-US"/>
        </w:rPr>
        <w:t xml:space="preserve"> with </w:t>
      </w:r>
      <w:r w:rsidR="00B31964" w:rsidRPr="00BD2FEF">
        <w:rPr>
          <w:rFonts w:cs="Times New Roman"/>
          <w:color w:val="000000" w:themeColor="text1"/>
          <w:lang w:val="en-US"/>
        </w:rPr>
        <w:t>7</w:t>
      </w:r>
      <w:r w:rsidR="00560F4E" w:rsidRPr="00BD2FEF">
        <w:rPr>
          <w:rFonts w:cs="Times New Roman"/>
          <w:color w:val="000000" w:themeColor="text1"/>
          <w:lang w:val="en-US"/>
        </w:rPr>
        <w:t xml:space="preserve"> to 17 recorded tsunami inundations in a single record</w:t>
      </w:r>
      <w:r w:rsidR="0089263F" w:rsidRPr="00BD2FEF">
        <w:rPr>
          <w:rFonts w:cs="Times New Roman"/>
          <w:color w:val="000000" w:themeColor="text1"/>
          <w:lang w:val="en-US"/>
        </w:rPr>
        <w:t xml:space="preserve"> over several thousand years</w:t>
      </w:r>
      <w:r w:rsidR="00560F4E" w:rsidRPr="00BD2FEF">
        <w:rPr>
          <w:rFonts w:cs="Times New Roman"/>
          <w:color w:val="000000" w:themeColor="text1"/>
          <w:lang w:val="en-US"/>
        </w:rPr>
        <w:t xml:space="preserve">. </w:t>
      </w:r>
    </w:p>
    <w:p w14:paraId="0B37AB81" w14:textId="190B7CDD" w:rsidR="00EA6DCD" w:rsidRDefault="000739E4" w:rsidP="000054FC">
      <w:pPr>
        <w:pStyle w:val="CommentText"/>
        <w:spacing w:line="276" w:lineRule="auto"/>
        <w:rPr>
          <w:lang w:val="en-US"/>
        </w:rPr>
      </w:pPr>
      <w:r w:rsidRPr="00BD2FEF">
        <w:rPr>
          <w:rFonts w:cs="Times New Roman"/>
          <w:color w:val="000000" w:themeColor="text1"/>
          <w:lang w:val="en-US"/>
        </w:rPr>
        <w:t xml:space="preserve">Here we present a new </w:t>
      </w:r>
      <w:r w:rsidR="00AD6915" w:rsidRPr="00BD2FEF">
        <w:rPr>
          <w:rFonts w:cs="Times New Roman"/>
          <w:color w:val="000000" w:themeColor="text1"/>
          <w:lang w:val="en-US"/>
        </w:rPr>
        <w:t xml:space="preserve">and unusual </w:t>
      </w:r>
      <w:r w:rsidRPr="00BD2FEF">
        <w:rPr>
          <w:rFonts w:cs="Times New Roman"/>
          <w:color w:val="000000" w:themeColor="text1"/>
          <w:lang w:val="en-US"/>
        </w:rPr>
        <w:t>recurrence pattern of</w:t>
      </w:r>
      <w:r w:rsidR="0074777D" w:rsidRPr="00BD2FEF">
        <w:rPr>
          <w:rFonts w:cs="Times New Roman"/>
          <w:color w:val="000000" w:themeColor="text1"/>
          <w:lang w:val="en-US"/>
        </w:rPr>
        <w:t xml:space="preserve"> the Lake Huelde</w:t>
      </w:r>
      <w:r w:rsidRPr="00BD2FEF">
        <w:rPr>
          <w:rFonts w:cs="Times New Roman"/>
          <w:color w:val="000000" w:themeColor="text1"/>
          <w:lang w:val="en-US"/>
        </w:rPr>
        <w:t xml:space="preserve"> paleotsunami record </w:t>
      </w:r>
      <w:r w:rsidR="0074777D" w:rsidRPr="00BD2FEF">
        <w:rPr>
          <w:rFonts w:cs="Times New Roman"/>
          <w:color w:val="000000" w:themeColor="text1"/>
          <w:lang w:val="en-US"/>
        </w:rPr>
        <w:t xml:space="preserve">of 17 events </w:t>
      </w:r>
      <w:r w:rsidRPr="00BD2FEF">
        <w:rPr>
          <w:rFonts w:cs="Times New Roman"/>
          <w:color w:val="000000" w:themeColor="text1"/>
          <w:lang w:val="en-US"/>
        </w:rPr>
        <w:t>in south central Chile</w:t>
      </w:r>
      <w:r w:rsidR="0074777D" w:rsidRPr="00BD2FEF">
        <w:rPr>
          <w:rFonts w:cs="Times New Roman"/>
          <w:color w:val="000000" w:themeColor="text1"/>
          <w:lang w:val="en-US"/>
        </w:rPr>
        <w:t xml:space="preserve"> </w:t>
      </w:r>
      <w:r w:rsidR="005524B6" w:rsidRPr="005524B6">
        <w:rPr>
          <w:rFonts w:cs="Times New Roman"/>
          <w:color w:val="4F81BD" w:themeColor="accent1"/>
          <w:lang w:val="en-US"/>
        </w:rPr>
        <w:t>(Kempf et al., 2017)</w:t>
      </w:r>
      <w:r w:rsidRPr="00C27413">
        <w:rPr>
          <w:rFonts w:cs="Times New Roman"/>
          <w:color w:val="000000" w:themeColor="text1"/>
          <w:lang w:val="en-US"/>
        </w:rPr>
        <w:t xml:space="preserve"> and then discuss the statistical robustness of the </w:t>
      </w:r>
      <w:r w:rsidRPr="00BD2FEF">
        <w:rPr>
          <w:rFonts w:cs="Times New Roman"/>
          <w:color w:val="000000" w:themeColor="text1"/>
          <w:lang w:val="en-US"/>
        </w:rPr>
        <w:t>findings</w:t>
      </w:r>
      <w:r w:rsidR="00C57705" w:rsidRPr="00BD2FEF">
        <w:rPr>
          <w:rFonts w:cs="Times New Roman"/>
          <w:color w:val="000000" w:themeColor="text1"/>
          <w:lang w:val="en-US"/>
        </w:rPr>
        <w:t xml:space="preserve"> in light of the completeness of the record and the rupture modes involved</w:t>
      </w:r>
      <w:r w:rsidRPr="00BD2FEF">
        <w:rPr>
          <w:rFonts w:cs="Times New Roman"/>
          <w:color w:val="000000" w:themeColor="text1"/>
          <w:lang w:val="en-US"/>
        </w:rPr>
        <w:t>.</w:t>
      </w:r>
      <w:r w:rsidR="00C37971" w:rsidRPr="00BD2FEF">
        <w:rPr>
          <w:rFonts w:cs="Times New Roman"/>
          <w:color w:val="000000" w:themeColor="text1"/>
          <w:lang w:val="en-US"/>
        </w:rPr>
        <w:t xml:space="preserve"> </w:t>
      </w:r>
      <w:r w:rsidR="00C37971" w:rsidRPr="00BD2FEF">
        <w:rPr>
          <w:lang w:val="en-US"/>
        </w:rPr>
        <w:t xml:space="preserve">By statistical modelling, we explore the effect of the underlying </w:t>
      </w:r>
      <w:r w:rsidR="00415A6D" w:rsidRPr="00BD2FEF">
        <w:rPr>
          <w:lang w:val="en-US"/>
        </w:rPr>
        <w:t>recurrence pattern</w:t>
      </w:r>
      <w:r w:rsidR="00C37971" w:rsidRPr="00BD2FEF">
        <w:rPr>
          <w:lang w:val="en-US"/>
        </w:rPr>
        <w:t xml:space="preserve"> on the required amount of </w:t>
      </w:r>
      <w:r w:rsidR="00415A6D" w:rsidRPr="00BD2FEF">
        <w:rPr>
          <w:lang w:val="en-US"/>
        </w:rPr>
        <w:t>inter-event periods in order to</w:t>
      </w:r>
      <w:r w:rsidR="00C37971" w:rsidRPr="00BD2FEF">
        <w:rPr>
          <w:lang w:val="en-US"/>
        </w:rPr>
        <w:t xml:space="preserve"> describe the recurrence </w:t>
      </w:r>
      <w:r w:rsidR="00415A6D" w:rsidRPr="00BD2FEF">
        <w:rPr>
          <w:lang w:val="en-US"/>
        </w:rPr>
        <w:t>pattern reliably</w:t>
      </w:r>
      <w:r w:rsidR="00C37971" w:rsidRPr="00BD2FEF">
        <w:rPr>
          <w:lang w:val="en-US"/>
        </w:rPr>
        <w:t>.</w:t>
      </w:r>
    </w:p>
    <w:p w14:paraId="68C1EA32" w14:textId="2080D1FD" w:rsidR="000054FC" w:rsidRDefault="000054FC" w:rsidP="000054FC">
      <w:pPr>
        <w:pStyle w:val="CommentText"/>
        <w:spacing w:line="276" w:lineRule="auto"/>
        <w:jc w:val="center"/>
        <w:rPr>
          <w:rFonts w:cs="Times New Roman"/>
          <w:szCs w:val="22"/>
          <w:lang w:val="en-US"/>
        </w:rPr>
      </w:pPr>
      <w:r>
        <w:rPr>
          <w:rFonts w:cs="Times New Roman"/>
          <w:noProof/>
          <w:szCs w:val="22"/>
          <w:lang w:val="en-US"/>
        </w:rPr>
        <w:lastRenderedPageBreak/>
        <w:drawing>
          <wp:inline distT="0" distB="0" distL="0" distR="0" wp14:anchorId="19A52891" wp14:editId="2C0DA886">
            <wp:extent cx="5040000" cy="6610685"/>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 overview map of 1960 EQ and Huelde.pdf"/>
                    <pic:cNvPicPr/>
                  </pic:nvPicPr>
                  <pic:blipFill>
                    <a:blip r:embed="rId8"/>
                    <a:stretch>
                      <a:fillRect/>
                    </a:stretch>
                  </pic:blipFill>
                  <pic:spPr>
                    <a:xfrm>
                      <a:off x="0" y="0"/>
                      <a:ext cx="5040000" cy="6610685"/>
                    </a:xfrm>
                    <a:prstGeom prst="rect">
                      <a:avLst/>
                    </a:prstGeom>
                  </pic:spPr>
                </pic:pic>
              </a:graphicData>
            </a:graphic>
          </wp:inline>
        </w:drawing>
      </w:r>
    </w:p>
    <w:p w14:paraId="419CB86D" w14:textId="77777777" w:rsidR="000054FC" w:rsidRPr="000054FC" w:rsidRDefault="000054FC" w:rsidP="000054FC">
      <w:pPr>
        <w:rPr>
          <w:rFonts w:cs="Times New Roman"/>
          <w:i/>
          <w:lang w:val="en-US"/>
        </w:rPr>
      </w:pPr>
      <w:r w:rsidRPr="000054FC">
        <w:rPr>
          <w:rFonts w:cs="Times New Roman"/>
          <w:b/>
          <w:i/>
          <w:lang w:val="en-US"/>
        </w:rPr>
        <w:t>Figure 1:</w:t>
      </w:r>
      <w:r w:rsidRPr="000054FC">
        <w:rPr>
          <w:rFonts w:cs="Times New Roman"/>
          <w:i/>
          <w:lang w:val="en-US"/>
        </w:rPr>
        <w:t xml:space="preserve"> a) Overview map of south central Chile with Lake Huelde located in the middle of the 1 m slip isoline of the 1960 Great Chilean Earthquake rupture (red overlay) </w:t>
      </w:r>
      <w:r w:rsidRPr="000054FC">
        <w:rPr>
          <w:rFonts w:cs="Times New Roman"/>
          <w:i/>
          <w:color w:val="4F81BD" w:themeColor="accent1"/>
          <w:lang w:val="en-US"/>
        </w:rPr>
        <w:t>(Moreno et al., 2009)</w:t>
      </w:r>
      <w:r w:rsidRPr="000054FC">
        <w:rPr>
          <w:rFonts w:cs="Times New Roman"/>
          <w:i/>
          <w:lang w:val="en-US"/>
        </w:rPr>
        <w:t xml:space="preserve">; b) geomorphological map of Lake Huelde near the Pacific coastline on Chiloé Island </w:t>
      </w:r>
      <w:r w:rsidRPr="000054FC">
        <w:rPr>
          <w:rFonts w:cs="Times New Roman"/>
          <w:i/>
          <w:color w:val="4F81BD" w:themeColor="accent1"/>
          <w:lang w:val="en-US"/>
        </w:rPr>
        <w:t>(Kempf et al., 2017)</w:t>
      </w:r>
      <w:r w:rsidRPr="000054FC">
        <w:rPr>
          <w:rFonts w:cs="Times New Roman"/>
          <w:i/>
          <w:lang w:val="en-US"/>
        </w:rPr>
        <w:t xml:space="preserve">; c) master core of the Lake Huelde sedimentary record with all tsunami deposits and their modelled ages </w:t>
      </w:r>
      <w:r w:rsidRPr="000054FC">
        <w:rPr>
          <w:rFonts w:cs="Times New Roman"/>
          <w:i/>
          <w:color w:val="4F81BD" w:themeColor="accent1"/>
          <w:lang w:val="en-US"/>
        </w:rPr>
        <w:t>(Kempf et al., 2017)</w:t>
      </w:r>
      <w:r w:rsidRPr="000054FC">
        <w:rPr>
          <w:rFonts w:cs="Times New Roman"/>
          <w:i/>
          <w:lang w:val="en-US"/>
        </w:rPr>
        <w:t>. The abbreviations for the event deposits (</w:t>
      </w:r>
      <w:proofErr w:type="spellStart"/>
      <w:r w:rsidRPr="000054FC">
        <w:rPr>
          <w:rFonts w:cs="Times New Roman"/>
          <w:i/>
          <w:lang w:val="en-US"/>
        </w:rPr>
        <w:t>hD</w:t>
      </w:r>
      <w:proofErr w:type="spellEnd"/>
      <w:r w:rsidRPr="000054FC">
        <w:rPr>
          <w:rFonts w:cs="Times New Roman"/>
          <w:i/>
          <w:lang w:val="en-US"/>
        </w:rPr>
        <w:t xml:space="preserve">, </w:t>
      </w:r>
      <w:proofErr w:type="spellStart"/>
      <w:r w:rsidRPr="000054FC">
        <w:rPr>
          <w:rFonts w:cs="Times New Roman"/>
          <w:i/>
          <w:lang w:val="en-US"/>
        </w:rPr>
        <w:t>hE</w:t>
      </w:r>
      <w:proofErr w:type="spellEnd"/>
      <w:r w:rsidRPr="000054FC">
        <w:rPr>
          <w:rFonts w:cs="Times New Roman"/>
          <w:i/>
          <w:lang w:val="en-US"/>
        </w:rPr>
        <w:t xml:space="preserve"> and so on) stand for Lake Huelde (h) and a capital letter in alphabetical order with increasing age.</w:t>
      </w:r>
    </w:p>
    <w:p w14:paraId="54F88B46" w14:textId="2E59F085" w:rsidR="00415A6D" w:rsidRPr="00BD2FEF" w:rsidRDefault="00415A6D" w:rsidP="000054FC">
      <w:pPr>
        <w:pStyle w:val="Heading1"/>
        <w:rPr>
          <w:lang w:val="en-US"/>
        </w:rPr>
      </w:pPr>
      <w:r w:rsidRPr="00BD2FEF">
        <w:rPr>
          <w:lang w:val="en-US"/>
        </w:rPr>
        <w:lastRenderedPageBreak/>
        <w:t>Previous work</w:t>
      </w:r>
      <w:r w:rsidR="002C54AB" w:rsidRPr="00BD2FEF">
        <w:rPr>
          <w:lang w:val="en-US"/>
        </w:rPr>
        <w:t xml:space="preserve"> – seventeen tsunami deposits in Lake Huelde (Chile)</w:t>
      </w:r>
    </w:p>
    <w:p w14:paraId="399D2656" w14:textId="39215A43" w:rsidR="002C54AB" w:rsidRPr="00BD2FEF" w:rsidRDefault="002C54AB" w:rsidP="000054FC">
      <w:pPr>
        <w:rPr>
          <w:lang w:val="en-US"/>
        </w:rPr>
      </w:pPr>
      <w:r w:rsidRPr="00BD2FEF">
        <w:rPr>
          <w:lang w:val="en-US"/>
        </w:rPr>
        <w:t xml:space="preserve">Lake Huelde is located 1.3 km </w:t>
      </w:r>
      <w:r w:rsidR="0053316B" w:rsidRPr="00BD2FEF">
        <w:rPr>
          <w:lang w:val="en-US"/>
        </w:rPr>
        <w:t xml:space="preserve">landward of </w:t>
      </w:r>
      <w:r w:rsidRPr="00BD2FEF">
        <w:rPr>
          <w:lang w:val="en-US"/>
        </w:rPr>
        <w:t>th</w:t>
      </w:r>
      <w:r w:rsidRPr="00C27413">
        <w:rPr>
          <w:lang w:val="en-US"/>
        </w:rPr>
        <w:t xml:space="preserve">e west coast of Chiloé Island (Chile), the northernmost Patagonian island on the South American west coast and situated in the </w:t>
      </w:r>
      <w:r w:rsidR="0053316B" w:rsidRPr="00BD2FEF">
        <w:rPr>
          <w:lang w:val="en-US"/>
        </w:rPr>
        <w:t xml:space="preserve">center </w:t>
      </w:r>
      <w:r w:rsidRPr="00BD2FEF">
        <w:rPr>
          <w:lang w:val="en-US"/>
        </w:rPr>
        <w:t xml:space="preserve">of the CE 1960 Great Chilean Earthquake (M9.5) rupture zone </w:t>
      </w:r>
      <w:r w:rsidRPr="00BD2FEF">
        <w:rPr>
          <w:color w:val="C0504D" w:themeColor="accent2"/>
          <w:lang w:val="en-US"/>
        </w:rPr>
        <w:t>(Fig. 1</w:t>
      </w:r>
      <w:r w:rsidR="002F1E73" w:rsidRPr="00BD2FEF">
        <w:rPr>
          <w:color w:val="C0504D" w:themeColor="accent2"/>
          <w:lang w:val="en-US"/>
        </w:rPr>
        <w:t>a</w:t>
      </w:r>
      <w:r w:rsidRPr="00BD2FEF">
        <w:rPr>
          <w:color w:val="C0504D" w:themeColor="accent2"/>
          <w:lang w:val="en-US"/>
        </w:rPr>
        <w:t>)</w:t>
      </w:r>
      <w:r w:rsidRPr="00BD2FEF">
        <w:rPr>
          <w:lang w:val="en-US"/>
        </w:rPr>
        <w:t xml:space="preserve">. </w:t>
      </w:r>
    </w:p>
    <w:p w14:paraId="1B1AAF4A" w14:textId="510656E6" w:rsidR="002C54AB" w:rsidRPr="00BD2FEF" w:rsidRDefault="008B5AA7" w:rsidP="000054FC">
      <w:pPr>
        <w:rPr>
          <w:lang w:val="en-US"/>
        </w:rPr>
      </w:pPr>
      <w:r w:rsidRPr="00BD2FEF">
        <w:rPr>
          <w:lang w:val="en-US"/>
        </w:rPr>
        <w:t>A deposit of the associated tsunami was recognized in a lacustrine sediment sequence from Lake Huelde as a mostly sandy layer with intervals of mud rip-up clasts in a matrix of sand with a fine grained mud cap at the top</w:t>
      </w:r>
      <w:r w:rsidR="005524B6">
        <w:rPr>
          <w:lang w:val="en-US"/>
        </w:rPr>
        <w:t xml:space="preserve"> </w:t>
      </w:r>
      <w:r w:rsidR="005524B6" w:rsidRPr="005524B6">
        <w:rPr>
          <w:color w:val="4F81BD" w:themeColor="accent1"/>
          <w:lang w:val="en-US"/>
        </w:rPr>
        <w:t>(Kempf et al., 2015)</w:t>
      </w:r>
      <w:r w:rsidRPr="00C27413">
        <w:rPr>
          <w:lang w:val="en-US"/>
        </w:rPr>
        <w:t>. In the deeper sedimentary record of Lake Huelde, similar sedimentary units were identified</w:t>
      </w:r>
      <w:r w:rsidRPr="00BD2FEF">
        <w:rPr>
          <w:lang w:val="en-US"/>
        </w:rPr>
        <w:t xml:space="preserve"> and interpreted as tsunami deposits, too</w:t>
      </w:r>
      <w:r w:rsidR="002F1E73" w:rsidRPr="00BD2FEF">
        <w:rPr>
          <w:lang w:val="en-US"/>
        </w:rPr>
        <w:t xml:space="preserve"> </w:t>
      </w:r>
      <w:r w:rsidR="002F1E73" w:rsidRPr="00BD2FEF">
        <w:rPr>
          <w:color w:val="C00000"/>
          <w:lang w:val="en-US"/>
        </w:rPr>
        <w:t>(Fig. 1b and c)</w:t>
      </w:r>
      <w:r w:rsidR="005524B6" w:rsidRPr="005524B6">
        <w:rPr>
          <w:color w:val="4F81BD" w:themeColor="accent1"/>
          <w:lang w:val="en-US"/>
        </w:rPr>
        <w:t xml:space="preserve"> (Kempf et al., 2017)</w:t>
      </w:r>
      <w:r w:rsidRPr="00C27413">
        <w:rPr>
          <w:lang w:val="en-US"/>
        </w:rPr>
        <w:t xml:space="preserve">. </w:t>
      </w:r>
      <w:r w:rsidR="00B27C1D" w:rsidRPr="00BD2FEF">
        <w:rPr>
          <w:lang w:val="en-US"/>
        </w:rPr>
        <w:t xml:space="preserve">The tsunami sizes </w:t>
      </w:r>
      <w:r w:rsidR="00727F67" w:rsidRPr="00BD2FEF">
        <w:rPr>
          <w:lang w:val="en-US"/>
        </w:rPr>
        <w:t xml:space="preserve">recorded in the sedimentary record of Lake Huelde </w:t>
      </w:r>
      <w:r w:rsidR="00B27C1D" w:rsidRPr="00BD2FEF">
        <w:rPr>
          <w:lang w:val="en-US"/>
        </w:rPr>
        <w:t xml:space="preserve">range </w:t>
      </w:r>
      <w:r w:rsidR="00727F67" w:rsidRPr="00BD2FEF">
        <w:rPr>
          <w:lang w:val="en-US"/>
        </w:rPr>
        <w:t>from tsunamis that wash over ~6 m high dunes to small tsunamis that are merely reaching the lake through the river channel</w:t>
      </w:r>
      <w:r w:rsidR="005524B6">
        <w:rPr>
          <w:lang w:val="en-US"/>
        </w:rPr>
        <w:t xml:space="preserve"> </w:t>
      </w:r>
      <w:r w:rsidR="005524B6" w:rsidRPr="005524B6">
        <w:rPr>
          <w:color w:val="4F81BD" w:themeColor="accent1"/>
          <w:lang w:val="en-US"/>
        </w:rPr>
        <w:t>(Kempf et al., 2015, 2017)</w:t>
      </w:r>
      <w:r w:rsidR="00727F67" w:rsidRPr="00C27413">
        <w:rPr>
          <w:lang w:val="en-US"/>
        </w:rPr>
        <w:t xml:space="preserve">. </w:t>
      </w:r>
      <w:r w:rsidR="00727F67" w:rsidRPr="00BD2FEF">
        <w:rPr>
          <w:lang w:val="en-US"/>
        </w:rPr>
        <w:t xml:space="preserve">Tsunamis that do not reach the lake, though potentially posing a </w:t>
      </w:r>
      <w:r w:rsidR="00BA08F3">
        <w:rPr>
          <w:lang w:val="en-US"/>
        </w:rPr>
        <w:t xml:space="preserve">small, local </w:t>
      </w:r>
      <w:r w:rsidR="00727F67" w:rsidRPr="00BD2FEF">
        <w:rPr>
          <w:lang w:val="en-US"/>
        </w:rPr>
        <w:t>hazard, are beyond the sensitivity limit of the record.</w:t>
      </w:r>
    </w:p>
    <w:p w14:paraId="097C4618" w14:textId="7BB71033" w:rsidR="002C54AB" w:rsidRDefault="00113AA9" w:rsidP="000054FC">
      <w:pPr>
        <w:rPr>
          <w:lang w:val="en-US"/>
        </w:rPr>
      </w:pPr>
      <w:r w:rsidRPr="00BD2FEF">
        <w:rPr>
          <w:lang w:val="en-US"/>
        </w:rPr>
        <w:t xml:space="preserve">Radiocarbon dates provided the main source for input for two </w:t>
      </w:r>
      <w:r w:rsidR="002C54AB" w:rsidRPr="00BD2FEF">
        <w:rPr>
          <w:lang w:val="en-US"/>
        </w:rPr>
        <w:t>models that describe the age-</w:t>
      </w:r>
      <w:r w:rsidRPr="00BD2FEF">
        <w:rPr>
          <w:lang w:val="en-US"/>
        </w:rPr>
        <w:t xml:space="preserve">depth </w:t>
      </w:r>
      <w:r w:rsidR="0053316B" w:rsidRPr="00BD2FEF">
        <w:rPr>
          <w:lang w:val="en-US"/>
        </w:rPr>
        <w:t xml:space="preserve">relationship </w:t>
      </w:r>
      <w:r w:rsidR="002C54AB" w:rsidRPr="00BD2FEF">
        <w:rPr>
          <w:lang w:val="en-US"/>
        </w:rPr>
        <w:t>in the sediment cores</w:t>
      </w:r>
      <w:r w:rsidR="0053316B" w:rsidRPr="00BD2FEF">
        <w:rPr>
          <w:lang w:val="en-US"/>
        </w:rPr>
        <w:t xml:space="preserve"> </w:t>
      </w:r>
      <w:r w:rsidR="0053316B" w:rsidRPr="005524B6">
        <w:rPr>
          <w:color w:val="C00000"/>
          <w:lang w:val="en-US"/>
        </w:rPr>
        <w:t>(Fig. 1c</w:t>
      </w:r>
      <w:r w:rsidR="00A211CA" w:rsidRPr="005524B6">
        <w:rPr>
          <w:color w:val="C00000"/>
          <w:lang w:val="en-US"/>
        </w:rPr>
        <w:t xml:space="preserve"> and 2</w:t>
      </w:r>
      <w:r w:rsidR="004417A1" w:rsidRPr="005524B6">
        <w:rPr>
          <w:color w:val="C00000"/>
          <w:lang w:val="en-US"/>
        </w:rPr>
        <w:t xml:space="preserve">; Tab. </w:t>
      </w:r>
      <w:r w:rsidR="00AA6BDE" w:rsidRPr="005524B6">
        <w:rPr>
          <w:color w:val="C00000"/>
          <w:lang w:val="en-US"/>
        </w:rPr>
        <w:t>S</w:t>
      </w:r>
      <w:r w:rsidR="004417A1" w:rsidRPr="005524B6">
        <w:rPr>
          <w:color w:val="C00000"/>
          <w:lang w:val="en-US"/>
        </w:rPr>
        <w:t>1</w:t>
      </w:r>
      <w:r w:rsidR="00AC0FF4">
        <w:rPr>
          <w:rFonts w:cs="Times New Roman"/>
          <w:szCs w:val="24"/>
          <w:lang w:val="en-US"/>
        </w:rPr>
        <w:t>,</w:t>
      </w:r>
      <w:r w:rsidR="00AC0FF4" w:rsidRPr="000F17BE">
        <w:rPr>
          <w:rFonts w:cs="Times New Roman"/>
          <w:szCs w:val="24"/>
          <w:lang w:val="en-US"/>
        </w:rPr>
        <w:t xml:space="preserve"> available in the electronic supplement to this article</w:t>
      </w:r>
      <w:r w:rsidR="0053316B" w:rsidRPr="005524B6">
        <w:rPr>
          <w:color w:val="C00000"/>
          <w:lang w:val="en-US"/>
        </w:rPr>
        <w:t>)</w:t>
      </w:r>
      <w:r w:rsidR="005524B6" w:rsidRPr="005524B6">
        <w:rPr>
          <w:color w:val="4F81BD" w:themeColor="accent1"/>
          <w:lang w:val="en-US"/>
        </w:rPr>
        <w:t xml:space="preserve"> (Kempf et al., 2017)</w:t>
      </w:r>
      <w:r w:rsidRPr="00C27413">
        <w:rPr>
          <w:lang w:val="en-US"/>
        </w:rPr>
        <w:t xml:space="preserve">; one </w:t>
      </w:r>
      <w:r w:rsidR="001E3738" w:rsidRPr="00BD2FEF">
        <w:rPr>
          <w:lang w:val="en-US"/>
        </w:rPr>
        <w:t xml:space="preserve">was created with </w:t>
      </w:r>
      <w:r w:rsidRPr="00BD2FEF">
        <w:rPr>
          <w:lang w:val="en-US"/>
        </w:rPr>
        <w:t xml:space="preserve">the Bayesian, autoregressive accumulation rate age-depth </w:t>
      </w:r>
      <w:r w:rsidR="002C54AB" w:rsidRPr="00BD2FEF">
        <w:rPr>
          <w:lang w:val="en-US"/>
        </w:rPr>
        <w:t xml:space="preserve">modelling </w:t>
      </w:r>
      <w:r w:rsidRPr="00BD2FEF">
        <w:rPr>
          <w:lang w:val="en-US"/>
        </w:rPr>
        <w:t>algorithm called B</w:t>
      </w:r>
      <w:r w:rsidR="0053316B" w:rsidRPr="00BD2FEF">
        <w:rPr>
          <w:lang w:val="en-US"/>
        </w:rPr>
        <w:t>ACON</w:t>
      </w:r>
      <w:r w:rsidR="001E3738" w:rsidRPr="00BD2FEF">
        <w:rPr>
          <w:lang w:val="en-US"/>
        </w:rPr>
        <w:t xml:space="preserve"> based in an R-environment</w:t>
      </w:r>
      <w:r w:rsidR="005524B6">
        <w:rPr>
          <w:lang w:val="en-US"/>
        </w:rPr>
        <w:t xml:space="preserve"> </w:t>
      </w:r>
      <w:r w:rsidR="005524B6" w:rsidRPr="005524B6">
        <w:rPr>
          <w:color w:val="4F81BD" w:themeColor="accent1"/>
          <w:lang w:val="en-US"/>
        </w:rPr>
        <w:t>(Blaauw and Christen, 2011)</w:t>
      </w:r>
      <w:r w:rsidR="001E3738" w:rsidRPr="00C27413">
        <w:rPr>
          <w:lang w:val="en-US"/>
        </w:rPr>
        <w:t>, the other with t</w:t>
      </w:r>
      <w:r w:rsidR="001E3738" w:rsidRPr="00BD2FEF">
        <w:rPr>
          <w:lang w:val="en-US"/>
        </w:rPr>
        <w:t>he standalone Bayesian age-depth</w:t>
      </w:r>
      <w:r w:rsidR="007057C2" w:rsidRPr="00BD2FEF">
        <w:rPr>
          <w:lang w:val="en-US"/>
        </w:rPr>
        <w:t xml:space="preserve"> </w:t>
      </w:r>
      <w:r w:rsidR="002C54AB" w:rsidRPr="00BD2FEF">
        <w:rPr>
          <w:lang w:val="en-US"/>
        </w:rPr>
        <w:t xml:space="preserve">model </w:t>
      </w:r>
      <w:r w:rsidR="007057C2" w:rsidRPr="00BD2FEF">
        <w:rPr>
          <w:lang w:val="en-US"/>
        </w:rPr>
        <w:t>algorithm called P_Sequence of</w:t>
      </w:r>
      <w:r w:rsidR="001E3738" w:rsidRPr="00BD2FEF">
        <w:rPr>
          <w:lang w:val="en-US"/>
        </w:rPr>
        <w:t xml:space="preserve"> the OxCal family</w:t>
      </w:r>
      <w:r w:rsidR="005524B6">
        <w:rPr>
          <w:lang w:val="en-US"/>
        </w:rPr>
        <w:t xml:space="preserve"> </w:t>
      </w:r>
      <w:r w:rsidR="005524B6" w:rsidRPr="005524B6">
        <w:rPr>
          <w:color w:val="4F81BD" w:themeColor="accent1"/>
          <w:lang w:val="en-US"/>
        </w:rPr>
        <w:t>(Bronk Ramsey, 2008)</w:t>
      </w:r>
      <w:r w:rsidR="001E3738" w:rsidRPr="00C27413">
        <w:rPr>
          <w:lang w:val="en-US"/>
        </w:rPr>
        <w:t>.</w:t>
      </w:r>
      <w:r w:rsidR="007057C2" w:rsidRPr="00BD2FEF">
        <w:rPr>
          <w:lang w:val="en-US"/>
        </w:rPr>
        <w:t xml:space="preserve"> </w:t>
      </w:r>
    </w:p>
    <w:p w14:paraId="76F26B2D" w14:textId="77777777" w:rsidR="000054FC" w:rsidRDefault="000054FC" w:rsidP="000054FC">
      <w:pPr>
        <w:jc w:val="center"/>
        <w:rPr>
          <w:lang w:val="en-US"/>
        </w:rPr>
      </w:pPr>
      <w:r>
        <w:rPr>
          <w:noProof/>
          <w:lang w:val="en-US"/>
        </w:rPr>
        <w:drawing>
          <wp:inline distT="0" distB="0" distL="0" distR="0" wp14:anchorId="1360CA2E" wp14:editId="0339049B">
            <wp:extent cx="2120900" cy="254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 - recurrence pattern Huelde record.pdf"/>
                    <pic:cNvPicPr/>
                  </pic:nvPicPr>
                  <pic:blipFill>
                    <a:blip r:embed="rId9"/>
                    <a:stretch>
                      <a:fillRect/>
                    </a:stretch>
                  </pic:blipFill>
                  <pic:spPr>
                    <a:xfrm>
                      <a:off x="0" y="0"/>
                      <a:ext cx="2120900" cy="2540000"/>
                    </a:xfrm>
                    <a:prstGeom prst="rect">
                      <a:avLst/>
                    </a:prstGeom>
                  </pic:spPr>
                </pic:pic>
              </a:graphicData>
            </a:graphic>
          </wp:inline>
        </w:drawing>
      </w:r>
    </w:p>
    <w:p w14:paraId="4D06A7D1" w14:textId="77777777" w:rsidR="000054FC" w:rsidRPr="000054FC" w:rsidRDefault="000054FC" w:rsidP="000054FC">
      <w:pPr>
        <w:rPr>
          <w:rFonts w:cs="Times New Roman"/>
          <w:i/>
          <w:lang w:val="en-US"/>
        </w:rPr>
      </w:pPr>
      <w:r w:rsidRPr="000054FC">
        <w:rPr>
          <w:rFonts w:cs="Times New Roman"/>
          <w:b/>
          <w:i/>
          <w:lang w:val="en-US"/>
        </w:rPr>
        <w:t>Figure 2:</w:t>
      </w:r>
      <w:r w:rsidRPr="000054FC">
        <w:rPr>
          <w:rFonts w:cs="Times New Roman"/>
          <w:i/>
          <w:lang w:val="en-US"/>
        </w:rPr>
        <w:t xml:space="preserve"> Age-depth modeled recurrence pattern of tsunami deposits in the sedimentary record of Lake Huelde. Each inter-event period, e.g. between events </w:t>
      </w:r>
      <w:proofErr w:type="spellStart"/>
      <w:r w:rsidRPr="000054FC">
        <w:rPr>
          <w:rFonts w:cs="Times New Roman"/>
          <w:i/>
          <w:lang w:val="en-US"/>
        </w:rPr>
        <w:t>hK</w:t>
      </w:r>
      <w:proofErr w:type="spellEnd"/>
      <w:r w:rsidRPr="000054FC">
        <w:rPr>
          <w:rFonts w:cs="Times New Roman"/>
          <w:i/>
          <w:lang w:val="en-US"/>
        </w:rPr>
        <w:t xml:space="preserve"> and </w:t>
      </w:r>
      <w:proofErr w:type="spellStart"/>
      <w:r w:rsidRPr="000054FC">
        <w:rPr>
          <w:rFonts w:cs="Times New Roman"/>
          <w:i/>
          <w:lang w:val="en-US"/>
        </w:rPr>
        <w:t>hJ</w:t>
      </w:r>
      <w:proofErr w:type="spellEnd"/>
      <w:r w:rsidRPr="000054FC">
        <w:rPr>
          <w:rFonts w:cs="Times New Roman"/>
          <w:i/>
          <w:lang w:val="en-US"/>
        </w:rPr>
        <w:t xml:space="preserve">, from young (top) to old (bottom). The overall recurrence pattern is shown on top. The solid line expresses the results of the </w:t>
      </w:r>
      <w:proofErr w:type="spellStart"/>
      <w:r w:rsidRPr="000054FC">
        <w:rPr>
          <w:rFonts w:cs="Times New Roman"/>
          <w:i/>
          <w:lang w:val="en-US"/>
        </w:rPr>
        <w:t>OxCal</w:t>
      </w:r>
      <w:proofErr w:type="spellEnd"/>
      <w:r w:rsidRPr="000054FC">
        <w:rPr>
          <w:rFonts w:cs="Times New Roman"/>
          <w:i/>
          <w:lang w:val="en-US"/>
        </w:rPr>
        <w:t xml:space="preserve"> </w:t>
      </w:r>
      <w:proofErr w:type="spellStart"/>
      <w:r w:rsidRPr="000054FC">
        <w:rPr>
          <w:rFonts w:cs="Times New Roman"/>
          <w:i/>
          <w:lang w:val="en-US"/>
        </w:rPr>
        <w:t>P_Sequence</w:t>
      </w:r>
      <w:proofErr w:type="spellEnd"/>
      <w:r w:rsidRPr="000054FC">
        <w:rPr>
          <w:rFonts w:cs="Times New Roman"/>
          <w:i/>
          <w:lang w:val="en-US"/>
        </w:rPr>
        <w:t xml:space="preserve"> and the grey areas show the results of BACON. No significant model-specific artifacts were observed. For ease of use we continued with the R-based BACON results. </w:t>
      </w:r>
    </w:p>
    <w:p w14:paraId="58BD6E74" w14:textId="4BA6EA62" w:rsidR="000054FC" w:rsidRPr="000054FC" w:rsidRDefault="007057C2" w:rsidP="000054FC">
      <w:pPr>
        <w:rPr>
          <w:rFonts w:cs="Times New Roman"/>
          <w:szCs w:val="24"/>
          <w:lang w:val="en-US"/>
        </w:rPr>
      </w:pPr>
      <w:r w:rsidRPr="00BD2FEF">
        <w:rPr>
          <w:lang w:val="en-US"/>
        </w:rPr>
        <w:t xml:space="preserve">Both models were in agreement with each other without showing any model-specific </w:t>
      </w:r>
      <w:r w:rsidR="003B49A3" w:rsidRPr="00BD2FEF">
        <w:rPr>
          <w:lang w:val="en-US"/>
        </w:rPr>
        <w:t xml:space="preserve">artifacts. Probabilistic ages were </w:t>
      </w:r>
      <w:r w:rsidR="006150DE" w:rsidRPr="00BD2FEF">
        <w:rPr>
          <w:lang w:val="en-US"/>
        </w:rPr>
        <w:t>modelled for</w:t>
      </w:r>
      <w:r w:rsidR="003B49A3" w:rsidRPr="00BD2FEF">
        <w:rPr>
          <w:lang w:val="en-US"/>
        </w:rPr>
        <w:t xml:space="preserve"> each tsunami de</w:t>
      </w:r>
      <w:r w:rsidR="00703ABC" w:rsidRPr="00BD2FEF">
        <w:rPr>
          <w:lang w:val="en-US"/>
        </w:rPr>
        <w:t xml:space="preserve">posit creating a </w:t>
      </w:r>
      <w:r w:rsidR="003B49A3" w:rsidRPr="00BD2FEF">
        <w:rPr>
          <w:lang w:val="en-US"/>
        </w:rPr>
        <w:t>paleotsunami record</w:t>
      </w:r>
      <w:r w:rsidR="00C60AD5" w:rsidRPr="00BD2FEF">
        <w:rPr>
          <w:lang w:val="en-US"/>
        </w:rPr>
        <w:t xml:space="preserve"> of the last 5500 years</w:t>
      </w:r>
      <w:r w:rsidR="003B49A3" w:rsidRPr="00BD2FEF">
        <w:rPr>
          <w:lang w:val="en-US"/>
        </w:rPr>
        <w:t>.</w:t>
      </w:r>
      <w:r w:rsidR="002C54AB" w:rsidRPr="00BD2FEF">
        <w:rPr>
          <w:rFonts w:cs="Times New Roman"/>
          <w:szCs w:val="24"/>
          <w:lang w:val="en-US"/>
        </w:rPr>
        <w:t xml:space="preserve"> The Lake Huelde sedimentary record is </w:t>
      </w:r>
      <w:r w:rsidR="002C54AB" w:rsidRPr="00BD2FEF">
        <w:rPr>
          <w:rFonts w:cs="Times New Roman"/>
          <w:szCs w:val="24"/>
          <w:lang w:val="en-US"/>
        </w:rPr>
        <w:lastRenderedPageBreak/>
        <w:t>the longest paleotsunami record on the entire Peru-Chile subduction zone and</w:t>
      </w:r>
      <w:r w:rsidR="002C54AB" w:rsidRPr="00BD2FEF">
        <w:rPr>
          <w:rFonts w:eastAsia="MS Gothic" w:cs="Times New Roman"/>
          <w:color w:val="000000"/>
          <w:lang w:val="en-US"/>
        </w:rPr>
        <w:t xml:space="preserve"> is in strong agreement with the </w:t>
      </w:r>
      <w:r w:rsidR="00E7025B" w:rsidRPr="00BD2FEF">
        <w:rPr>
          <w:rFonts w:eastAsia="MS Gothic" w:cs="Times New Roman"/>
          <w:color w:val="000000"/>
          <w:lang w:val="en-US"/>
        </w:rPr>
        <w:t xml:space="preserve">previously </w:t>
      </w:r>
      <w:r w:rsidR="002C54AB" w:rsidRPr="00BD2FEF">
        <w:rPr>
          <w:rFonts w:eastAsia="MS Gothic" w:cs="Times New Roman"/>
          <w:color w:val="000000"/>
          <w:lang w:val="en-US"/>
        </w:rPr>
        <w:t xml:space="preserve">known paleotsunami record </w:t>
      </w:r>
      <w:r w:rsidR="00E7025B" w:rsidRPr="00BD2FEF">
        <w:rPr>
          <w:rFonts w:eastAsia="MS Gothic" w:cs="Times New Roman"/>
          <w:color w:val="000000"/>
          <w:lang w:val="en-US"/>
        </w:rPr>
        <w:t xml:space="preserve">of the past 2000 years </w:t>
      </w:r>
      <w:r w:rsidR="002C54AB" w:rsidRPr="00BD2FEF">
        <w:rPr>
          <w:rFonts w:eastAsia="MS Gothic" w:cs="Times New Roman"/>
          <w:color w:val="000000"/>
          <w:lang w:val="en-US"/>
        </w:rPr>
        <w:t>without any over- or underrepresentation</w:t>
      </w:r>
      <w:r w:rsidR="005524B6">
        <w:rPr>
          <w:rFonts w:eastAsia="MS Gothic" w:cs="Times New Roman"/>
          <w:color w:val="000000"/>
          <w:lang w:val="en-US"/>
        </w:rPr>
        <w:t xml:space="preserve"> </w:t>
      </w:r>
      <w:r w:rsidR="005524B6" w:rsidRPr="005524B6">
        <w:rPr>
          <w:rFonts w:eastAsia="MS Gothic" w:cs="Times New Roman"/>
          <w:color w:val="4F81BD" w:themeColor="accent1"/>
          <w:lang w:val="en-US"/>
        </w:rPr>
        <w:t>(Kempf et al., 2017)</w:t>
      </w:r>
      <w:r w:rsidR="002C54AB" w:rsidRPr="00C27413">
        <w:rPr>
          <w:rFonts w:eastAsia="MS Gothic" w:cs="Times New Roman"/>
          <w:color w:val="000000"/>
          <w:lang w:val="en-US"/>
        </w:rPr>
        <w:t xml:space="preserve">. </w:t>
      </w:r>
      <w:r w:rsidR="002C54AB" w:rsidRPr="00C27413">
        <w:rPr>
          <w:rFonts w:cs="Times New Roman"/>
          <w:szCs w:val="24"/>
          <w:lang w:val="en-US"/>
        </w:rPr>
        <w:t xml:space="preserve">The lacustrine sediment sequence appears to be continuous and the age-control is good throughout the entire record. At present, the Lake Huelde </w:t>
      </w:r>
      <w:r w:rsidR="002C54AB" w:rsidRPr="00BD2FEF">
        <w:rPr>
          <w:rFonts w:cs="Times New Roman"/>
          <w:szCs w:val="24"/>
          <w:lang w:val="en-US"/>
        </w:rPr>
        <w:t>record should be the most reliable record in the region for paleotsunami recurrence pattern reconstruction.</w:t>
      </w:r>
      <w:r w:rsidR="00840276" w:rsidRPr="00BD2FEF">
        <w:rPr>
          <w:rFonts w:cs="Times New Roman"/>
          <w:szCs w:val="24"/>
          <w:lang w:val="en-US"/>
        </w:rPr>
        <w:t xml:space="preserve"> The Lake Huelde record bears evidence of nine previously unknown tsunamis.</w:t>
      </w:r>
    </w:p>
    <w:p w14:paraId="7D9C34A4" w14:textId="77777777" w:rsidR="0053316B" w:rsidRPr="00BD2FEF" w:rsidRDefault="0053316B" w:rsidP="000054FC">
      <w:pPr>
        <w:pStyle w:val="Heading1"/>
        <w:rPr>
          <w:lang w:val="en-US"/>
        </w:rPr>
      </w:pPr>
      <w:r w:rsidRPr="00BD2FEF">
        <w:rPr>
          <w:lang w:val="en-US"/>
        </w:rPr>
        <w:t>Methods</w:t>
      </w:r>
    </w:p>
    <w:p w14:paraId="62633C24" w14:textId="5BC53B4B" w:rsidR="002C54AB" w:rsidRPr="00BD2FEF" w:rsidRDefault="002C54AB" w:rsidP="000054FC">
      <w:pPr>
        <w:rPr>
          <w:rFonts w:cs="Times New Roman"/>
          <w:szCs w:val="24"/>
          <w:lang w:val="en-US"/>
        </w:rPr>
      </w:pPr>
      <w:r w:rsidRPr="00BD2FEF">
        <w:rPr>
          <w:rFonts w:cs="Times New Roman"/>
          <w:szCs w:val="24"/>
          <w:lang w:val="en-US"/>
        </w:rPr>
        <w:t>We use the results of Kempf et al.</w:t>
      </w:r>
      <w:r w:rsidR="00A272A4" w:rsidRPr="00BD2FEF">
        <w:rPr>
          <w:rFonts w:cs="Times New Roman"/>
          <w:szCs w:val="24"/>
          <w:lang w:val="en-US"/>
        </w:rPr>
        <w:t xml:space="preserve"> </w:t>
      </w:r>
      <w:r w:rsidR="00A272A4" w:rsidRPr="005524B6">
        <w:rPr>
          <w:rFonts w:cs="Times New Roman"/>
          <w:color w:val="C00000"/>
          <w:szCs w:val="24"/>
          <w:lang w:val="en-US"/>
        </w:rPr>
        <w:t xml:space="preserve">(Tab. </w:t>
      </w:r>
      <w:r w:rsidR="00AA6BDE" w:rsidRPr="005524B6">
        <w:rPr>
          <w:rFonts w:cs="Times New Roman"/>
          <w:color w:val="C00000"/>
          <w:szCs w:val="24"/>
          <w:lang w:val="en-US"/>
        </w:rPr>
        <w:t>S</w:t>
      </w:r>
      <w:r w:rsidR="00A272A4" w:rsidRPr="005524B6">
        <w:rPr>
          <w:rFonts w:cs="Times New Roman"/>
          <w:color w:val="C00000"/>
          <w:szCs w:val="24"/>
          <w:lang w:val="en-US"/>
        </w:rPr>
        <w:t>1</w:t>
      </w:r>
      <w:r w:rsidR="00AC0FF4">
        <w:rPr>
          <w:rFonts w:cs="Times New Roman"/>
          <w:color w:val="C00000"/>
          <w:szCs w:val="24"/>
          <w:lang w:val="en-US"/>
        </w:rPr>
        <w:t>,</w:t>
      </w:r>
      <w:r w:rsidR="00AC0FF4" w:rsidRPr="000F17BE">
        <w:rPr>
          <w:rFonts w:cs="Times New Roman"/>
          <w:szCs w:val="24"/>
          <w:lang w:val="en-US"/>
        </w:rPr>
        <w:t xml:space="preserve"> available in the electronic supplement to this article</w:t>
      </w:r>
      <w:r w:rsidR="00A272A4" w:rsidRPr="005524B6">
        <w:rPr>
          <w:rFonts w:cs="Times New Roman"/>
          <w:color w:val="C00000"/>
          <w:szCs w:val="24"/>
          <w:lang w:val="en-US"/>
        </w:rPr>
        <w:t>)</w:t>
      </w:r>
      <w:r w:rsidRPr="00C27413">
        <w:rPr>
          <w:rFonts w:cs="Times New Roman"/>
          <w:szCs w:val="24"/>
          <w:lang w:val="en-US"/>
        </w:rPr>
        <w:t xml:space="preserve"> </w:t>
      </w:r>
      <w:r w:rsidR="005524B6" w:rsidRPr="005524B6">
        <w:rPr>
          <w:rFonts w:cs="Times New Roman"/>
          <w:color w:val="4F81BD" w:themeColor="accent1"/>
          <w:szCs w:val="24"/>
          <w:lang w:val="en-US"/>
        </w:rPr>
        <w:t>(Kempf et al., 2017)</w:t>
      </w:r>
      <w:r w:rsidR="005524B6">
        <w:rPr>
          <w:rFonts w:cs="Times New Roman"/>
          <w:szCs w:val="24"/>
          <w:lang w:val="en-US"/>
        </w:rPr>
        <w:t xml:space="preserve"> </w:t>
      </w:r>
      <w:r w:rsidRPr="00C27413">
        <w:rPr>
          <w:rFonts w:cs="Times New Roman"/>
          <w:szCs w:val="24"/>
          <w:lang w:val="en-US"/>
        </w:rPr>
        <w:t>to compute the modelled inter-event period between each tsunami deposit</w:t>
      </w:r>
      <w:r w:rsidR="002F1E73" w:rsidRPr="00C27413">
        <w:rPr>
          <w:rFonts w:cs="Times New Roman"/>
          <w:szCs w:val="24"/>
          <w:lang w:val="en-US"/>
        </w:rPr>
        <w:t xml:space="preserve"> </w:t>
      </w:r>
      <w:r w:rsidR="002F1E73" w:rsidRPr="00BD2FEF">
        <w:rPr>
          <w:rFonts w:cs="Times New Roman"/>
          <w:color w:val="C00000"/>
          <w:szCs w:val="24"/>
          <w:lang w:val="en-US"/>
        </w:rPr>
        <w:t>(Fig. 1 and 2)</w:t>
      </w:r>
      <w:r w:rsidRPr="00BD2FEF">
        <w:rPr>
          <w:rFonts w:cs="Times New Roman"/>
          <w:szCs w:val="24"/>
          <w:lang w:val="en-US"/>
        </w:rPr>
        <w:t>. In B</w:t>
      </w:r>
      <w:r w:rsidR="0053316B" w:rsidRPr="00BD2FEF">
        <w:rPr>
          <w:rFonts w:cs="Times New Roman"/>
          <w:szCs w:val="24"/>
          <w:lang w:val="en-US"/>
        </w:rPr>
        <w:t>ACON</w:t>
      </w:r>
      <w:r w:rsidRPr="00BD2FEF">
        <w:rPr>
          <w:rFonts w:cs="Times New Roman"/>
          <w:szCs w:val="24"/>
          <w:lang w:val="en-US"/>
        </w:rPr>
        <w:t xml:space="preserve"> two consecutive tsunami deposit ages within each of the Markov Chain Monte Carlo iterations can be elegantly subtracted from each other to get a probabilistic description of an inter-event period between the two tsunamis. Age-reversals (i.e. negative inter-event periods) and artificially narrower or wider inter-event period distributions are avoided this way. In OxCal, we used the Difference()-function, which is designed for the same purpose </w:t>
      </w:r>
      <w:r w:rsidRPr="00BD2FEF">
        <w:rPr>
          <w:rFonts w:cs="Times New Roman"/>
          <w:color w:val="C0504D" w:themeColor="accent2"/>
          <w:szCs w:val="24"/>
          <w:lang w:val="en-US"/>
        </w:rPr>
        <w:t>(Fig. 2)</w:t>
      </w:r>
      <w:r w:rsidRPr="00BD2FEF">
        <w:rPr>
          <w:rFonts w:cs="Times New Roman"/>
          <w:szCs w:val="24"/>
          <w:lang w:val="en-US"/>
        </w:rPr>
        <w:t>.</w:t>
      </w:r>
    </w:p>
    <w:p w14:paraId="0254D051" w14:textId="77777777" w:rsidR="00187EEB" w:rsidRPr="00BD2FEF" w:rsidRDefault="00187EEB" w:rsidP="000054FC">
      <w:pPr>
        <w:rPr>
          <w:rFonts w:cs="Times New Roman"/>
          <w:szCs w:val="24"/>
          <w:lang w:val="en-US"/>
        </w:rPr>
      </w:pPr>
    </w:p>
    <w:p w14:paraId="7737570C" w14:textId="54572427" w:rsidR="005030C5" w:rsidRPr="00C27413" w:rsidRDefault="0074777D" w:rsidP="000054FC">
      <w:pPr>
        <w:rPr>
          <w:rFonts w:cs="Times New Roman"/>
          <w:szCs w:val="24"/>
          <w:lang w:val="en-US"/>
        </w:rPr>
      </w:pPr>
      <w:r w:rsidRPr="00BD2FEF">
        <w:rPr>
          <w:rFonts w:cs="Times New Roman"/>
          <w:color w:val="000000" w:themeColor="text1"/>
          <w:lang w:val="en-US"/>
        </w:rPr>
        <w:t xml:space="preserve">Firstly, </w:t>
      </w:r>
      <w:r w:rsidR="00C90D98" w:rsidRPr="00BD2FEF">
        <w:rPr>
          <w:rFonts w:cs="Times New Roman"/>
          <w:color w:val="000000" w:themeColor="text1"/>
          <w:lang w:val="en-US"/>
        </w:rPr>
        <w:t>w</w:t>
      </w:r>
      <w:r w:rsidRPr="00BD2FEF">
        <w:rPr>
          <w:rFonts w:cs="Times New Roman"/>
          <w:color w:val="000000" w:themeColor="text1"/>
          <w:lang w:val="en-US"/>
        </w:rPr>
        <w:t xml:space="preserve">e test for the null hypothesis of a Poisson process in </w:t>
      </w:r>
      <w:r w:rsidR="00187EEB" w:rsidRPr="00BD2FEF">
        <w:rPr>
          <w:rFonts w:cs="Times New Roman"/>
          <w:color w:val="000000" w:themeColor="text1"/>
          <w:lang w:val="en-US"/>
        </w:rPr>
        <w:t>the Lake Huelde paleotsunami record</w:t>
      </w:r>
      <w:r w:rsidRPr="00BD2FEF">
        <w:rPr>
          <w:rFonts w:cs="Times New Roman"/>
          <w:color w:val="000000" w:themeColor="text1"/>
          <w:lang w:val="en-US"/>
        </w:rPr>
        <w:t xml:space="preserve"> using the Cox and Oakes test for exponentiality. </w:t>
      </w:r>
      <w:r w:rsidR="005030C5" w:rsidRPr="00BD2FEF">
        <w:rPr>
          <w:rFonts w:cs="Times New Roman"/>
          <w:szCs w:val="24"/>
          <w:lang w:val="en-US"/>
        </w:rPr>
        <w:t>The Cox and Oakes test is one of several tests for exponentiality, but among those it has proven to be relatively powerful, if not the best, when no further information about the dataset is known, and seems to be relatively successful with smaller sample numbers</w:t>
      </w:r>
      <w:r w:rsidR="005524B6">
        <w:rPr>
          <w:rFonts w:cs="Times New Roman"/>
          <w:szCs w:val="24"/>
          <w:lang w:val="en-US"/>
        </w:rPr>
        <w:t xml:space="preserve"> </w:t>
      </w:r>
      <w:r w:rsidR="005524B6" w:rsidRPr="005524B6">
        <w:rPr>
          <w:rFonts w:cs="Times New Roman"/>
          <w:color w:val="4F81BD" w:themeColor="accent1"/>
          <w:szCs w:val="24"/>
          <w:lang w:val="en-US"/>
        </w:rPr>
        <w:t>(Ascher, 1990; Rahman and Wu, 2017)</w:t>
      </w:r>
      <w:r w:rsidR="005030C5" w:rsidRPr="00C27413">
        <w:rPr>
          <w:rFonts w:cs="Times New Roman"/>
          <w:szCs w:val="24"/>
          <w:lang w:val="en-US"/>
        </w:rPr>
        <w:t>. Essentially, the result of the Cox and Oakes test of exponentiality can reject the hypothesis of exponentiality for a dataset for both small and large results of the deviate</w:t>
      </w:r>
      <w:r w:rsidR="00A272A4" w:rsidRPr="00C27413">
        <w:rPr>
          <w:rFonts w:cs="Times New Roman"/>
          <w:szCs w:val="24"/>
          <w:lang w:val="en-US"/>
        </w:rPr>
        <w:t xml:space="preserve"> </w:t>
      </w:r>
      <w:r w:rsidR="00A272A4" w:rsidRPr="005524B6">
        <w:rPr>
          <w:rFonts w:cs="Times New Roman"/>
          <w:color w:val="C00000"/>
          <w:szCs w:val="24"/>
          <w:lang w:val="en-US"/>
        </w:rPr>
        <w:t>(Fig. 3)</w:t>
      </w:r>
      <w:r w:rsidR="005524B6">
        <w:rPr>
          <w:rFonts w:cs="Times New Roman"/>
          <w:color w:val="C00000"/>
          <w:szCs w:val="24"/>
          <w:lang w:val="en-US"/>
        </w:rPr>
        <w:t xml:space="preserve"> </w:t>
      </w:r>
      <w:r w:rsidR="005524B6" w:rsidRPr="005524B6">
        <w:rPr>
          <w:rFonts w:cs="Times New Roman"/>
          <w:color w:val="4F81BD" w:themeColor="accent1"/>
          <w:szCs w:val="24"/>
          <w:lang w:val="en-US"/>
        </w:rPr>
        <w:t>(Cox and Oakes, 1984)</w:t>
      </w:r>
      <w:r w:rsidR="005030C5" w:rsidRPr="00C27413">
        <w:rPr>
          <w:rFonts w:cs="Times New Roman"/>
          <w:szCs w:val="24"/>
          <w:lang w:val="en-US"/>
        </w:rPr>
        <w:t>.</w:t>
      </w:r>
    </w:p>
    <w:p w14:paraId="4C55E84A" w14:textId="26E20089" w:rsidR="00EA6DCD" w:rsidRPr="00BD2FEF" w:rsidRDefault="00EA6DCD" w:rsidP="000054FC">
      <w:pPr>
        <w:rPr>
          <w:rFonts w:cs="Times New Roman"/>
          <w:color w:val="000000" w:themeColor="text1"/>
          <w:lang w:val="en-US"/>
        </w:rPr>
      </w:pPr>
      <w:r w:rsidRPr="00BD2FEF">
        <w:rPr>
          <w:rFonts w:cs="Times New Roman"/>
          <w:color w:val="000000" w:themeColor="text1"/>
          <w:lang w:val="en-US"/>
        </w:rPr>
        <w:t xml:space="preserve">Secondly, </w:t>
      </w:r>
      <w:r w:rsidR="0074777D" w:rsidRPr="00BD2FEF">
        <w:rPr>
          <w:rFonts w:cs="Times New Roman"/>
          <w:color w:val="000000" w:themeColor="text1"/>
          <w:lang w:val="en-US"/>
        </w:rPr>
        <w:t>we simulate records, sourced from six created recurrence patterns</w:t>
      </w:r>
      <w:r w:rsidR="00A272A4" w:rsidRPr="00BD2FEF">
        <w:rPr>
          <w:rFonts w:cs="Times New Roman"/>
          <w:color w:val="000000" w:themeColor="text1"/>
          <w:lang w:val="en-US"/>
        </w:rPr>
        <w:t xml:space="preserve"> (also tested for exponentiality for reference, </w:t>
      </w:r>
      <w:r w:rsidR="00A272A4" w:rsidRPr="005524B6">
        <w:rPr>
          <w:rFonts w:cs="Times New Roman"/>
          <w:color w:val="C00000"/>
          <w:lang w:val="en-US"/>
        </w:rPr>
        <w:t>Fig. 3</w:t>
      </w:r>
      <w:r w:rsidR="00A272A4" w:rsidRPr="00BD2FEF">
        <w:rPr>
          <w:rFonts w:cs="Times New Roman"/>
          <w:color w:val="000000" w:themeColor="text1"/>
          <w:lang w:val="en-US"/>
        </w:rPr>
        <w:t>)</w:t>
      </w:r>
      <w:r w:rsidR="0074777D" w:rsidRPr="00BD2FEF">
        <w:rPr>
          <w:rFonts w:cs="Times New Roman"/>
          <w:color w:val="000000" w:themeColor="text1"/>
          <w:lang w:val="en-US"/>
        </w:rPr>
        <w:t xml:space="preserve">, which are a mixture of </w:t>
      </w:r>
      <w:r w:rsidR="00187EEB" w:rsidRPr="00BD2FEF">
        <w:rPr>
          <w:rFonts w:cs="Times New Roman"/>
          <w:color w:val="000000" w:themeColor="text1"/>
          <w:lang w:val="en-US"/>
        </w:rPr>
        <w:t>conceptual</w:t>
      </w:r>
      <w:r w:rsidR="0074777D" w:rsidRPr="00BD2FEF">
        <w:rPr>
          <w:rFonts w:cs="Times New Roman"/>
          <w:color w:val="000000" w:themeColor="text1"/>
          <w:lang w:val="en-US"/>
        </w:rPr>
        <w:t xml:space="preserve"> </w:t>
      </w:r>
      <w:r w:rsidRPr="00BD2FEF">
        <w:rPr>
          <w:rFonts w:cs="Times New Roman"/>
          <w:color w:val="000000" w:themeColor="text1"/>
          <w:lang w:val="en-US"/>
        </w:rPr>
        <w:t xml:space="preserve">distributions </w:t>
      </w:r>
      <w:r w:rsidR="00817D2E" w:rsidRPr="00BD2FEF">
        <w:rPr>
          <w:rFonts w:cs="Times New Roman"/>
          <w:color w:val="000000" w:themeColor="text1"/>
          <w:lang w:val="en-US"/>
        </w:rPr>
        <w:t>(P</w:t>
      </w:r>
      <w:r w:rsidR="0074777D" w:rsidRPr="00BD2FEF">
        <w:rPr>
          <w:rFonts w:cs="Times New Roman"/>
          <w:color w:val="000000" w:themeColor="text1"/>
          <w:lang w:val="en-US"/>
        </w:rPr>
        <w:t xml:space="preserve">oissonian recurrence, </w:t>
      </w:r>
      <w:r w:rsidR="00817D2E" w:rsidRPr="00BD2FEF">
        <w:rPr>
          <w:rFonts w:cs="Times New Roman"/>
          <w:color w:val="000000" w:themeColor="text1"/>
          <w:lang w:val="en-US"/>
        </w:rPr>
        <w:t>G</w:t>
      </w:r>
      <w:r w:rsidR="00317E0C" w:rsidRPr="00BD2FEF">
        <w:rPr>
          <w:rFonts w:cs="Times New Roman"/>
          <w:color w:val="000000" w:themeColor="text1"/>
          <w:lang w:val="en-US"/>
        </w:rPr>
        <w:t>aussian</w:t>
      </w:r>
      <w:r w:rsidR="0074777D" w:rsidRPr="00BD2FEF">
        <w:rPr>
          <w:rFonts w:cs="Times New Roman"/>
          <w:color w:val="000000" w:themeColor="text1"/>
          <w:lang w:val="en-US"/>
        </w:rPr>
        <w:t xml:space="preserve"> recurrence, uniform recurrence) and </w:t>
      </w:r>
      <w:r w:rsidR="00187EEB" w:rsidRPr="00BD2FEF">
        <w:rPr>
          <w:rFonts w:cs="Times New Roman"/>
          <w:color w:val="000000" w:themeColor="text1"/>
          <w:lang w:val="en-US"/>
        </w:rPr>
        <w:t>real-world</w:t>
      </w:r>
      <w:r w:rsidR="0074777D" w:rsidRPr="00BD2FEF">
        <w:rPr>
          <w:rFonts w:cs="Times New Roman"/>
          <w:color w:val="000000" w:themeColor="text1"/>
          <w:lang w:val="en-US"/>
        </w:rPr>
        <w:t xml:space="preserve"> examples (exponential power model for large-scale earthquakes observed in Chilean lakes</w:t>
      </w:r>
      <w:r w:rsidR="00771619" w:rsidRPr="00BD2FEF">
        <w:rPr>
          <w:rFonts w:cs="Times New Roman"/>
          <w:color w:val="000000" w:themeColor="text1"/>
          <w:lang w:val="en-US"/>
        </w:rPr>
        <w:t xml:space="preserve"> </w:t>
      </w:r>
      <w:r w:rsidR="00235917" w:rsidRPr="005524B6">
        <w:rPr>
          <w:rFonts w:cs="Times New Roman"/>
          <w:color w:val="4F81BD" w:themeColor="accent1"/>
          <w:lang w:val="en-US"/>
        </w:rPr>
        <w:t>(</w:t>
      </w:r>
      <w:r w:rsidR="00771619" w:rsidRPr="005524B6">
        <w:rPr>
          <w:rFonts w:cs="Times New Roman"/>
          <w:color w:val="4F81BD" w:themeColor="accent1"/>
          <w:lang w:val="en-US"/>
        </w:rPr>
        <w:t>e.g. Moernaut et al. 2018</w:t>
      </w:r>
      <w:r w:rsidR="00235917" w:rsidRPr="005524B6">
        <w:rPr>
          <w:rFonts w:cs="Times New Roman"/>
          <w:color w:val="4F81BD" w:themeColor="accent1"/>
          <w:lang w:val="en-US"/>
        </w:rPr>
        <w:t>)</w:t>
      </w:r>
      <w:r w:rsidR="0074777D" w:rsidRPr="00BD2FEF">
        <w:rPr>
          <w:rFonts w:cs="Times New Roman"/>
          <w:color w:val="000000" w:themeColor="text1"/>
          <w:lang w:val="en-US"/>
        </w:rPr>
        <w:t xml:space="preserve">; </w:t>
      </w:r>
      <w:r w:rsidR="00317E0C" w:rsidRPr="00BD2FEF">
        <w:rPr>
          <w:rFonts w:cs="Times New Roman"/>
          <w:color w:val="000000" w:themeColor="text1"/>
          <w:lang w:val="en-US"/>
        </w:rPr>
        <w:t>Huelde</w:t>
      </w:r>
      <w:r w:rsidR="0074777D" w:rsidRPr="00BD2FEF">
        <w:rPr>
          <w:rFonts w:cs="Times New Roman"/>
          <w:color w:val="000000" w:themeColor="text1"/>
          <w:lang w:val="en-US"/>
        </w:rPr>
        <w:t xml:space="preserve"> model for tsunamis observed in coastal Lake Huelde, south central Chile</w:t>
      </w:r>
      <w:r w:rsidR="00235917" w:rsidRPr="00BD2FEF">
        <w:rPr>
          <w:rFonts w:cs="Times New Roman"/>
          <w:color w:val="000000" w:themeColor="text1"/>
          <w:lang w:val="en-US"/>
        </w:rPr>
        <w:t xml:space="preserve"> </w:t>
      </w:r>
      <w:r w:rsidR="00235917" w:rsidRPr="005524B6">
        <w:rPr>
          <w:rFonts w:cs="Times New Roman"/>
          <w:color w:val="4F81BD" w:themeColor="accent1"/>
          <w:lang w:val="en-US"/>
        </w:rPr>
        <w:t xml:space="preserve">(e.g. </w:t>
      </w:r>
      <w:r w:rsidR="00771619" w:rsidRPr="005524B6">
        <w:rPr>
          <w:rFonts w:cs="Times New Roman"/>
          <w:color w:val="4F81BD" w:themeColor="accent1"/>
          <w:lang w:val="en-US"/>
        </w:rPr>
        <w:t>Kempf et al., 2017</w:t>
      </w:r>
      <w:r w:rsidR="00235917" w:rsidRPr="005524B6">
        <w:rPr>
          <w:rFonts w:cs="Times New Roman"/>
          <w:color w:val="4F81BD" w:themeColor="accent1"/>
          <w:lang w:val="en-US"/>
        </w:rPr>
        <w:t>)</w:t>
      </w:r>
      <w:r w:rsidR="0074777D" w:rsidRPr="00BD2FEF">
        <w:rPr>
          <w:rFonts w:cs="Times New Roman"/>
          <w:color w:val="000000" w:themeColor="text1"/>
          <w:lang w:val="en-US"/>
        </w:rPr>
        <w:t>; supercycle model for megathrust earthquakes on the Sunda Arc in north Sumatra</w:t>
      </w:r>
      <w:r w:rsidR="00235917" w:rsidRPr="00BD2FEF">
        <w:rPr>
          <w:rFonts w:cs="Times New Roman"/>
          <w:color w:val="000000" w:themeColor="text1"/>
          <w:lang w:val="en-US"/>
        </w:rPr>
        <w:t xml:space="preserve"> </w:t>
      </w:r>
      <w:r w:rsidR="00235917" w:rsidRPr="005524B6">
        <w:rPr>
          <w:rFonts w:cs="Times New Roman"/>
          <w:color w:val="4F81BD" w:themeColor="accent1"/>
          <w:lang w:val="en-US"/>
        </w:rPr>
        <w:t>(</w:t>
      </w:r>
      <w:r w:rsidR="00771619" w:rsidRPr="005524B6">
        <w:rPr>
          <w:rFonts w:cs="Times New Roman"/>
          <w:color w:val="4F81BD" w:themeColor="accent1"/>
          <w:lang w:val="en-US"/>
        </w:rPr>
        <w:t>e.g. Sieh et al., 2008</w:t>
      </w:r>
      <w:r w:rsidR="00235917" w:rsidRPr="005524B6">
        <w:rPr>
          <w:rFonts w:cs="Times New Roman"/>
          <w:color w:val="4F81BD" w:themeColor="accent1"/>
          <w:lang w:val="en-US"/>
        </w:rPr>
        <w:t>;</w:t>
      </w:r>
      <w:r w:rsidR="00771619" w:rsidRPr="005524B6">
        <w:rPr>
          <w:rFonts w:cs="Times New Roman"/>
          <w:color w:val="4F81BD" w:themeColor="accent1"/>
          <w:lang w:val="en-US"/>
        </w:rPr>
        <w:t xml:space="preserve"> </w:t>
      </w:r>
      <w:r w:rsidR="00382086" w:rsidRPr="005524B6">
        <w:rPr>
          <w:rFonts w:cs="Times New Roman"/>
          <w:color w:val="4F81BD" w:themeColor="accent1"/>
          <w:lang w:val="en-US"/>
        </w:rPr>
        <w:t>Philibosian et al., 2017</w:t>
      </w:r>
      <w:r w:rsidR="0074777D" w:rsidRPr="005524B6">
        <w:rPr>
          <w:rFonts w:cs="Times New Roman"/>
          <w:color w:val="4F81BD" w:themeColor="accent1"/>
          <w:lang w:val="en-US"/>
        </w:rPr>
        <w:t>)</w:t>
      </w:r>
      <w:r w:rsidR="0074777D" w:rsidRPr="00BD2FEF">
        <w:rPr>
          <w:rFonts w:cs="Times New Roman"/>
          <w:color w:val="000000" w:themeColor="text1"/>
          <w:lang w:val="en-US"/>
        </w:rPr>
        <w:t>.</w:t>
      </w:r>
      <w:r w:rsidRPr="00BD2FEF">
        <w:rPr>
          <w:rFonts w:cs="Times New Roman"/>
          <w:color w:val="000000" w:themeColor="text1"/>
          <w:lang w:val="en-US"/>
        </w:rPr>
        <w:t xml:space="preserve"> From the simulated records we sample synthetic sedimentary event records of 3, 6, 10, 16, 30 and 100 inter-event periods and analyze the statistical robustness of the conclusions that would be drawn from these records.</w:t>
      </w:r>
    </w:p>
    <w:p w14:paraId="19A43DAC" w14:textId="3954DC40" w:rsidR="00187EEB" w:rsidRPr="00BD2FEF" w:rsidRDefault="00187EEB" w:rsidP="000054FC">
      <w:pPr>
        <w:rPr>
          <w:rFonts w:cs="Times New Roman"/>
          <w:color w:val="000000" w:themeColor="text1"/>
          <w:lang w:val="en-US"/>
        </w:rPr>
      </w:pPr>
      <w:r w:rsidRPr="00BD2FEF">
        <w:rPr>
          <w:rFonts w:cs="Times New Roman"/>
          <w:color w:val="000000" w:themeColor="text1"/>
          <w:lang w:val="en-US"/>
        </w:rPr>
        <w:t>For the Cox and Oakes test and its visualization we use the R-environment</w:t>
      </w:r>
      <w:r w:rsidR="005030C5" w:rsidRPr="00BD2FEF">
        <w:rPr>
          <w:rFonts w:cs="Times New Roman"/>
          <w:color w:val="000000" w:themeColor="text1"/>
          <w:lang w:val="en-US"/>
        </w:rPr>
        <w:t xml:space="preserve"> and the “exptest” library</w:t>
      </w:r>
      <w:r w:rsidR="005524B6">
        <w:rPr>
          <w:rFonts w:cs="Times New Roman"/>
          <w:color w:val="000000" w:themeColor="text1"/>
          <w:lang w:val="en-US"/>
        </w:rPr>
        <w:t xml:space="preserve"> </w:t>
      </w:r>
      <w:r w:rsidR="005524B6" w:rsidRPr="005524B6">
        <w:rPr>
          <w:rFonts w:cs="Times New Roman"/>
          <w:color w:val="4F81BD" w:themeColor="accent1"/>
          <w:lang w:val="en-US"/>
        </w:rPr>
        <w:t>(Novikov et al., 2013)</w:t>
      </w:r>
      <w:r w:rsidRPr="00C27413">
        <w:rPr>
          <w:rFonts w:cs="Times New Roman"/>
          <w:color w:val="000000" w:themeColor="text1"/>
          <w:lang w:val="en-US"/>
        </w:rPr>
        <w:t xml:space="preserve">. The statistical modelling, </w:t>
      </w:r>
      <w:r w:rsidR="005030C5" w:rsidRPr="00BD2FEF">
        <w:rPr>
          <w:rFonts w:cs="Times New Roman"/>
          <w:color w:val="000000" w:themeColor="text1"/>
          <w:lang w:val="en-US"/>
        </w:rPr>
        <w:t>its</w:t>
      </w:r>
      <w:r w:rsidRPr="00BD2FEF">
        <w:rPr>
          <w:rFonts w:cs="Times New Roman"/>
          <w:color w:val="000000" w:themeColor="text1"/>
          <w:lang w:val="en-US"/>
        </w:rPr>
        <w:t xml:space="preserve"> description and </w:t>
      </w:r>
      <w:r w:rsidR="005030C5" w:rsidRPr="00BD2FEF">
        <w:rPr>
          <w:rFonts w:cs="Times New Roman"/>
          <w:color w:val="000000" w:themeColor="text1"/>
          <w:lang w:val="en-US"/>
        </w:rPr>
        <w:t>its</w:t>
      </w:r>
      <w:r w:rsidRPr="00BD2FEF">
        <w:rPr>
          <w:rFonts w:cs="Times New Roman"/>
          <w:color w:val="000000" w:themeColor="text1"/>
          <w:lang w:val="en-US"/>
        </w:rPr>
        <w:t xml:space="preserve"> visualization we</w:t>
      </w:r>
      <w:r w:rsidR="005030C5" w:rsidRPr="00BD2FEF">
        <w:rPr>
          <w:rFonts w:cs="Times New Roman"/>
          <w:color w:val="000000" w:themeColor="text1"/>
          <w:lang w:val="en-US"/>
        </w:rPr>
        <w:t xml:space="preserve">re written in generic </w:t>
      </w:r>
      <w:r w:rsidRPr="00BD2FEF">
        <w:rPr>
          <w:rFonts w:cs="Times New Roman"/>
          <w:color w:val="000000" w:themeColor="text1"/>
          <w:lang w:val="en-US"/>
        </w:rPr>
        <w:t>R</w:t>
      </w:r>
      <w:r w:rsidR="005030C5" w:rsidRPr="00BD2FEF">
        <w:rPr>
          <w:rFonts w:cs="Times New Roman"/>
          <w:color w:val="000000" w:themeColor="text1"/>
          <w:lang w:val="en-US"/>
        </w:rPr>
        <w:t xml:space="preserve"> language</w:t>
      </w:r>
      <w:r w:rsidRPr="00BD2FEF">
        <w:rPr>
          <w:rFonts w:cs="Times New Roman"/>
          <w:color w:val="000000" w:themeColor="text1"/>
          <w:lang w:val="en-US"/>
        </w:rPr>
        <w:t>.</w:t>
      </w:r>
    </w:p>
    <w:p w14:paraId="4B802F23" w14:textId="6A845774" w:rsidR="00BA1F65" w:rsidRDefault="00192E97" w:rsidP="000054FC">
      <w:pPr>
        <w:rPr>
          <w:rFonts w:cs="Times New Roman"/>
          <w:color w:val="000000"/>
          <w:lang w:val="en-US"/>
        </w:rPr>
      </w:pPr>
      <w:r w:rsidRPr="00BD2FEF">
        <w:rPr>
          <w:rFonts w:cs="Times New Roman"/>
          <w:szCs w:val="24"/>
          <w:lang w:val="en-US"/>
        </w:rPr>
        <w:t>The results of this study are</w:t>
      </w:r>
      <w:r w:rsidR="006B0F26" w:rsidRPr="00BD2FEF">
        <w:rPr>
          <w:rFonts w:cs="Times New Roman"/>
          <w:szCs w:val="24"/>
          <w:lang w:val="en-US"/>
        </w:rPr>
        <w:t xml:space="preserve"> </w:t>
      </w:r>
      <w:r w:rsidRPr="00BD2FEF">
        <w:rPr>
          <w:rFonts w:cs="Times New Roman"/>
          <w:szCs w:val="24"/>
          <w:lang w:val="en-US"/>
        </w:rPr>
        <w:t>expressed in frequency distributions. The frequenc</w:t>
      </w:r>
      <w:r w:rsidRPr="00771039">
        <w:rPr>
          <w:rFonts w:cs="Times New Roman"/>
          <w:szCs w:val="24"/>
          <w:lang w:val="en-US"/>
        </w:rPr>
        <w:t xml:space="preserve">ies are often not normally distributed, which is why we will not </w:t>
      </w:r>
      <w:r w:rsidR="006B0F26" w:rsidRPr="00771039">
        <w:rPr>
          <w:rFonts w:cs="Times New Roman"/>
          <w:szCs w:val="24"/>
          <w:lang w:val="en-US"/>
        </w:rPr>
        <w:t>express these results in</w:t>
      </w:r>
      <w:r w:rsidRPr="00771039">
        <w:rPr>
          <w:rFonts w:cs="Times New Roman"/>
          <w:szCs w:val="24"/>
          <w:lang w:val="en-US"/>
        </w:rPr>
        <w:t xml:space="preserve"> 1</w:t>
      </w:r>
      <w:r w:rsidR="006B0F26" w:rsidRPr="00771039">
        <w:rPr>
          <w:rFonts w:cs="Times New Roman"/>
          <w:color w:val="000000"/>
          <w:lang w:val="en-US"/>
        </w:rPr>
        <w:t>σ</w:t>
      </w:r>
      <w:r w:rsidRPr="00771039">
        <w:rPr>
          <w:rFonts w:cs="Times New Roman"/>
          <w:szCs w:val="24"/>
          <w:lang w:val="en-US"/>
        </w:rPr>
        <w:t xml:space="preserve"> </w:t>
      </w:r>
      <w:r w:rsidR="006B0F26" w:rsidRPr="00771039">
        <w:rPr>
          <w:rFonts w:cs="Times New Roman"/>
          <w:szCs w:val="24"/>
          <w:lang w:val="en-US"/>
        </w:rPr>
        <w:t>and</w:t>
      </w:r>
      <w:r w:rsidRPr="00771039">
        <w:rPr>
          <w:rFonts w:cs="Times New Roman"/>
          <w:szCs w:val="24"/>
          <w:lang w:val="en-US"/>
        </w:rPr>
        <w:t xml:space="preserve"> 2</w:t>
      </w:r>
      <w:r w:rsidR="006B0F26" w:rsidRPr="00771039">
        <w:rPr>
          <w:rFonts w:cs="Times New Roman"/>
          <w:color w:val="000000"/>
          <w:lang w:val="en-US"/>
        </w:rPr>
        <w:t>σ</w:t>
      </w:r>
      <w:r w:rsidRPr="00771039">
        <w:rPr>
          <w:rFonts w:cs="Times New Roman"/>
          <w:szCs w:val="24"/>
          <w:lang w:val="en-US"/>
        </w:rPr>
        <w:t xml:space="preserve"> ranges</w:t>
      </w:r>
      <w:r w:rsidR="006B0F26" w:rsidRPr="00771039">
        <w:rPr>
          <w:rFonts w:cs="Times New Roman"/>
          <w:szCs w:val="24"/>
          <w:lang w:val="en-US"/>
        </w:rPr>
        <w:t>.</w:t>
      </w:r>
      <w:r w:rsidR="006B0F26" w:rsidRPr="00BD2FEF">
        <w:rPr>
          <w:rFonts w:cs="Times New Roman"/>
          <w:szCs w:val="24"/>
          <w:lang w:val="en-US"/>
        </w:rPr>
        <w:t xml:space="preserve"> </w:t>
      </w:r>
      <w:r w:rsidR="00BD2FEF">
        <w:rPr>
          <w:rFonts w:cs="Times New Roman"/>
          <w:szCs w:val="24"/>
          <w:lang w:val="en-US"/>
        </w:rPr>
        <w:t>T</w:t>
      </w:r>
      <w:r w:rsidR="006B0F26" w:rsidRPr="00BD2FEF">
        <w:rPr>
          <w:rFonts w:cs="Times New Roman"/>
          <w:szCs w:val="24"/>
          <w:lang w:val="en-US"/>
        </w:rPr>
        <w:t>he interquartile range (IQR) is typically used</w:t>
      </w:r>
      <w:r w:rsidR="00BD2FEF">
        <w:rPr>
          <w:rFonts w:cs="Times New Roman"/>
          <w:szCs w:val="24"/>
          <w:lang w:val="en-US"/>
        </w:rPr>
        <w:t xml:space="preserve"> instead</w:t>
      </w:r>
      <w:r w:rsidR="006B0F26" w:rsidRPr="00BD2FEF">
        <w:rPr>
          <w:rFonts w:cs="Times New Roman"/>
          <w:szCs w:val="24"/>
          <w:lang w:val="en-US"/>
        </w:rPr>
        <w:t>, i.e. the difference between the 25</w:t>
      </w:r>
      <w:r w:rsidR="006B0F26" w:rsidRPr="00BD2FEF">
        <w:rPr>
          <w:rFonts w:cs="Times New Roman"/>
          <w:szCs w:val="24"/>
          <w:vertAlign w:val="superscript"/>
          <w:lang w:val="en-US"/>
        </w:rPr>
        <w:t>th</w:t>
      </w:r>
      <w:r w:rsidR="006B0F26" w:rsidRPr="00BD2FEF">
        <w:rPr>
          <w:rFonts w:cs="Times New Roman"/>
          <w:szCs w:val="24"/>
          <w:lang w:val="en-US"/>
        </w:rPr>
        <w:t xml:space="preserve"> and 75</w:t>
      </w:r>
      <w:r w:rsidR="006B0F26" w:rsidRPr="00BD2FEF">
        <w:rPr>
          <w:rFonts w:cs="Times New Roman"/>
          <w:szCs w:val="24"/>
          <w:vertAlign w:val="superscript"/>
          <w:lang w:val="en-US"/>
        </w:rPr>
        <w:t>th</w:t>
      </w:r>
      <w:r w:rsidR="006B0F26" w:rsidRPr="00BD2FEF">
        <w:rPr>
          <w:rFonts w:cs="Times New Roman"/>
          <w:szCs w:val="24"/>
          <w:lang w:val="en-US"/>
        </w:rPr>
        <w:t xml:space="preserve"> percentile. To keep a reference to the often used 1</w:t>
      </w:r>
      <w:r w:rsidR="006B0F26" w:rsidRPr="00BD2FEF">
        <w:rPr>
          <w:rFonts w:cs="Times New Roman"/>
          <w:color w:val="000000"/>
          <w:lang w:val="en-US"/>
        </w:rPr>
        <w:t xml:space="preserve">σ and 2σ-ranges, we will </w:t>
      </w:r>
      <w:r w:rsidR="00BA08F3">
        <w:rPr>
          <w:rFonts w:cs="Times New Roman"/>
          <w:color w:val="000000"/>
          <w:lang w:val="en-US"/>
        </w:rPr>
        <w:t>present</w:t>
      </w:r>
      <w:r w:rsidR="006B0F26" w:rsidRPr="00BD2FEF">
        <w:rPr>
          <w:rFonts w:cs="Times New Roman"/>
          <w:color w:val="000000"/>
          <w:lang w:val="en-US"/>
        </w:rPr>
        <w:t xml:space="preserve"> the 68% and 95% confidence ranges</w:t>
      </w:r>
      <w:r w:rsidR="00052C81" w:rsidRPr="00BD2FEF">
        <w:rPr>
          <w:rFonts w:cs="Times New Roman"/>
          <w:color w:val="000000"/>
          <w:lang w:val="en-US"/>
        </w:rPr>
        <w:t xml:space="preserve">. They are the </w:t>
      </w:r>
      <w:r w:rsidR="00052C81" w:rsidRPr="00BD2FEF">
        <w:rPr>
          <w:rFonts w:cs="Times New Roman"/>
          <w:color w:val="000000"/>
          <w:lang w:val="en-US"/>
        </w:rPr>
        <w:lastRenderedPageBreak/>
        <w:t>same type of data as the IQR except</w:t>
      </w:r>
      <w:r w:rsidR="006B0F26" w:rsidRPr="00BD2FEF">
        <w:rPr>
          <w:rFonts w:cs="Times New Roman"/>
          <w:color w:val="000000"/>
          <w:lang w:val="en-US"/>
        </w:rPr>
        <w:t xml:space="preserve"> with boundaries at the</w:t>
      </w:r>
      <w:r w:rsidR="006B0F26" w:rsidRPr="00771039">
        <w:rPr>
          <w:rFonts w:cs="Times New Roman"/>
          <w:color w:val="000000"/>
          <w:lang w:val="en-US"/>
        </w:rPr>
        <w:t xml:space="preserve"> 2.5%, 16%, 84% and 97.5% quantiles.</w:t>
      </w:r>
    </w:p>
    <w:p w14:paraId="721BEFB4" w14:textId="11F477B3" w:rsidR="000054FC" w:rsidRDefault="000054FC" w:rsidP="000054FC">
      <w:pPr>
        <w:jc w:val="center"/>
        <w:rPr>
          <w:rFonts w:cs="Times New Roman"/>
          <w:szCs w:val="24"/>
          <w:lang w:val="en-US"/>
        </w:rPr>
      </w:pPr>
      <w:r>
        <w:rPr>
          <w:rFonts w:cs="Times New Roman"/>
          <w:noProof/>
          <w:szCs w:val="24"/>
          <w:lang w:val="en-US"/>
        </w:rPr>
        <w:drawing>
          <wp:inline distT="0" distB="0" distL="0" distR="0" wp14:anchorId="57FFF7F0" wp14:editId="1731C28D">
            <wp:extent cx="3822700" cy="264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 - Cox and Oakes tests.pdf"/>
                    <pic:cNvPicPr/>
                  </pic:nvPicPr>
                  <pic:blipFill>
                    <a:blip r:embed="rId10"/>
                    <a:stretch>
                      <a:fillRect/>
                    </a:stretch>
                  </pic:blipFill>
                  <pic:spPr>
                    <a:xfrm>
                      <a:off x="0" y="0"/>
                      <a:ext cx="3822700" cy="2641600"/>
                    </a:xfrm>
                    <a:prstGeom prst="rect">
                      <a:avLst/>
                    </a:prstGeom>
                  </pic:spPr>
                </pic:pic>
              </a:graphicData>
            </a:graphic>
          </wp:inline>
        </w:drawing>
      </w:r>
    </w:p>
    <w:p w14:paraId="363AE86E" w14:textId="77777777" w:rsidR="000054FC" w:rsidRPr="000054FC" w:rsidRDefault="000054FC" w:rsidP="000054FC">
      <w:pPr>
        <w:rPr>
          <w:rFonts w:cs="Times New Roman"/>
          <w:i/>
          <w:lang w:val="en-US"/>
        </w:rPr>
      </w:pPr>
      <w:r w:rsidRPr="000054FC">
        <w:rPr>
          <w:rFonts w:cs="Times New Roman"/>
          <w:b/>
          <w:i/>
          <w:lang w:val="en-US"/>
        </w:rPr>
        <w:t>Figure 3:</w:t>
      </w:r>
      <w:r w:rsidRPr="000054FC">
        <w:rPr>
          <w:rFonts w:cs="Times New Roman"/>
          <w:i/>
          <w:lang w:val="en-US"/>
        </w:rPr>
        <w:t xml:space="preserve"> The Lake Huelde sedimentary record (black line) is tested for exponentiality using the Cox and Oakes test </w:t>
      </w:r>
      <w:r w:rsidRPr="000054FC">
        <w:rPr>
          <w:rFonts w:cs="Times New Roman"/>
          <w:i/>
          <w:color w:val="4F81BD" w:themeColor="accent1"/>
          <w:lang w:val="en-US"/>
        </w:rPr>
        <w:t>(Cox and Oakes, 1984)</w:t>
      </w:r>
      <w:r w:rsidRPr="000054FC">
        <w:rPr>
          <w:rFonts w:cs="Times New Roman"/>
          <w:i/>
          <w:lang w:val="en-US"/>
        </w:rPr>
        <w:t xml:space="preserve">. For all 10000 samples of the record the deviate </w:t>
      </w:r>
      <w:proofErr w:type="spellStart"/>
      <w:r w:rsidRPr="000054FC">
        <w:rPr>
          <w:rFonts w:cs="Times New Roman"/>
          <w:i/>
          <w:lang w:val="en-US"/>
        </w:rPr>
        <w:t>CO</w:t>
      </w:r>
      <w:r w:rsidRPr="000054FC">
        <w:rPr>
          <w:rFonts w:cs="Times New Roman"/>
          <w:i/>
          <w:vertAlign w:val="subscript"/>
          <w:lang w:val="en-US"/>
        </w:rPr>
        <w:t>n</w:t>
      </w:r>
      <w:proofErr w:type="spellEnd"/>
      <w:r w:rsidRPr="000054FC">
        <w:rPr>
          <w:rFonts w:cs="Times New Roman"/>
          <w:i/>
          <w:lang w:val="en-US"/>
        </w:rPr>
        <w:t xml:space="preserve"> of the Cox and Oakes test is greater than 0, which means exponentiality, i.e. the Poissonian process, can be excluded for Lake Huelde tsunami deposits. The Cox and Oakes test was repeated for all synthetic models. Except for the Poissonian and the supercycle model all models failed the test for exponentiality.</w:t>
      </w:r>
    </w:p>
    <w:p w14:paraId="146FDBDA" w14:textId="22712706" w:rsidR="003F4FE1" w:rsidRPr="00771039" w:rsidRDefault="00AD6915" w:rsidP="000054FC">
      <w:pPr>
        <w:pStyle w:val="Heading1"/>
        <w:rPr>
          <w:lang w:val="en-US"/>
        </w:rPr>
      </w:pPr>
      <w:r w:rsidRPr="00771039">
        <w:rPr>
          <w:lang w:val="en-US"/>
        </w:rPr>
        <w:t xml:space="preserve">Testing for </w:t>
      </w:r>
      <w:r w:rsidR="00817D2E" w:rsidRPr="00771039">
        <w:rPr>
          <w:lang w:val="en-US"/>
        </w:rPr>
        <w:t>the null hypothesis of P</w:t>
      </w:r>
      <w:r w:rsidR="00E27056" w:rsidRPr="00771039">
        <w:rPr>
          <w:lang w:val="en-US"/>
        </w:rPr>
        <w:t xml:space="preserve">oissonian </w:t>
      </w:r>
      <w:r w:rsidR="00B84A50" w:rsidRPr="00771039">
        <w:rPr>
          <w:lang w:val="en-US"/>
        </w:rPr>
        <w:t>behavior</w:t>
      </w:r>
    </w:p>
    <w:p w14:paraId="4DA9E4F4" w14:textId="39CC7C3C" w:rsidR="00771619" w:rsidRPr="00771039" w:rsidRDefault="00771619" w:rsidP="000054FC">
      <w:pPr>
        <w:rPr>
          <w:rFonts w:cs="Times New Roman"/>
          <w:szCs w:val="24"/>
          <w:lang w:val="en-US"/>
        </w:rPr>
      </w:pPr>
      <w:r w:rsidRPr="00771039">
        <w:rPr>
          <w:rFonts w:cs="Times New Roman"/>
          <w:szCs w:val="24"/>
          <w:lang w:val="en-US"/>
        </w:rPr>
        <w:t>The computed mean inter-event period of tsunamis that reach Lake Huelde is 325 years, which is comparable to conclusions drawn from other records of this region</w:t>
      </w:r>
      <w:r w:rsidR="005524B6">
        <w:rPr>
          <w:rFonts w:cs="Times New Roman"/>
          <w:szCs w:val="24"/>
          <w:lang w:val="en-US"/>
        </w:rPr>
        <w:t xml:space="preserve"> </w:t>
      </w:r>
      <w:r w:rsidR="005524B6" w:rsidRPr="005524B6">
        <w:rPr>
          <w:rFonts w:cs="Times New Roman"/>
          <w:color w:val="4F81BD" w:themeColor="accent1"/>
          <w:szCs w:val="24"/>
          <w:lang w:val="en-US"/>
        </w:rPr>
        <w:t>(Cisternas et al., 2005, 2017)</w:t>
      </w:r>
      <w:r w:rsidRPr="00C27413">
        <w:rPr>
          <w:rFonts w:cs="Times New Roman"/>
          <w:szCs w:val="24"/>
          <w:lang w:val="en-US"/>
        </w:rPr>
        <w:t xml:space="preserve">. However, the recurrence pattern is strongly bimodal </w:t>
      </w:r>
      <w:r w:rsidRPr="00BD2FEF">
        <w:rPr>
          <w:rFonts w:cs="Times New Roman"/>
          <w:color w:val="C0504D" w:themeColor="accent2"/>
          <w:szCs w:val="24"/>
          <w:lang w:val="en-US"/>
        </w:rPr>
        <w:t>(Fig. 2)</w:t>
      </w:r>
      <w:r w:rsidRPr="00BD2FEF">
        <w:rPr>
          <w:rFonts w:cs="Times New Roman"/>
          <w:szCs w:val="24"/>
          <w:lang w:val="en-US"/>
        </w:rPr>
        <w:t>. The first and narrower mode is at 115 years and the second and wider mode is at 490 years.</w:t>
      </w:r>
      <w:r w:rsidRPr="00771039">
        <w:rPr>
          <w:rFonts w:cs="Times New Roman"/>
          <w:szCs w:val="24"/>
          <w:lang w:val="en-US"/>
        </w:rPr>
        <w:t xml:space="preserve"> </w:t>
      </w:r>
    </w:p>
    <w:p w14:paraId="6EB72AF3" w14:textId="02A3C132" w:rsidR="000D2207" w:rsidRPr="00771039" w:rsidRDefault="005030C5" w:rsidP="000054FC">
      <w:pPr>
        <w:rPr>
          <w:rFonts w:cs="Times New Roman"/>
          <w:szCs w:val="24"/>
          <w:lang w:val="en-US"/>
        </w:rPr>
      </w:pPr>
      <w:r w:rsidRPr="00771039">
        <w:rPr>
          <w:rFonts w:cs="Times New Roman"/>
          <w:szCs w:val="24"/>
          <w:lang w:val="en-US"/>
        </w:rPr>
        <w:t xml:space="preserve">Despite the </w:t>
      </w:r>
      <w:r w:rsidR="00373F64" w:rsidRPr="00771039">
        <w:rPr>
          <w:rFonts w:cs="Times New Roman"/>
          <w:szCs w:val="24"/>
          <w:lang w:val="en-US"/>
        </w:rPr>
        <w:t>obvious</w:t>
      </w:r>
      <w:r w:rsidR="008854F8" w:rsidRPr="00771039">
        <w:rPr>
          <w:rFonts w:cs="Times New Roman"/>
          <w:szCs w:val="24"/>
          <w:lang w:val="en-US"/>
        </w:rPr>
        <w:t xml:space="preserve"> visual discrepancy of the Lake Huelde </w:t>
      </w:r>
      <w:r w:rsidRPr="00771039">
        <w:rPr>
          <w:rFonts w:cs="Times New Roman"/>
          <w:szCs w:val="24"/>
          <w:lang w:val="en-US"/>
        </w:rPr>
        <w:t>recurrence pattern</w:t>
      </w:r>
      <w:r w:rsidR="008854F8" w:rsidRPr="00771039">
        <w:rPr>
          <w:rFonts w:cs="Times New Roman"/>
          <w:szCs w:val="24"/>
          <w:lang w:val="en-US"/>
        </w:rPr>
        <w:t xml:space="preserve"> and a generic exponential distribution, we will apply the Cox and Oakes test </w:t>
      </w:r>
      <w:r w:rsidR="00373F64" w:rsidRPr="00771039">
        <w:rPr>
          <w:rFonts w:cs="Times New Roman"/>
          <w:szCs w:val="24"/>
          <w:lang w:val="en-US"/>
        </w:rPr>
        <w:t xml:space="preserve">for exponentiality </w:t>
      </w:r>
      <w:r w:rsidR="005524B6" w:rsidRPr="005524B6">
        <w:rPr>
          <w:rFonts w:cs="Times New Roman"/>
          <w:color w:val="4F81BD" w:themeColor="accent1"/>
          <w:szCs w:val="24"/>
          <w:lang w:val="en-US"/>
        </w:rPr>
        <w:t>(Cox and Oakes, 1984)</w:t>
      </w:r>
      <w:r w:rsidRPr="00C27413">
        <w:rPr>
          <w:rFonts w:cs="Times New Roman"/>
          <w:szCs w:val="24"/>
          <w:lang w:val="en-US"/>
        </w:rPr>
        <w:t xml:space="preserve"> by</w:t>
      </w:r>
      <w:r w:rsidR="00C7111D" w:rsidRPr="00C27413">
        <w:rPr>
          <w:rFonts w:cs="Times New Roman"/>
          <w:szCs w:val="24"/>
          <w:lang w:val="en-US"/>
        </w:rPr>
        <w:t xml:space="preserve"> simulat</w:t>
      </w:r>
      <w:r w:rsidRPr="00BD2FEF">
        <w:rPr>
          <w:rFonts w:cs="Times New Roman"/>
          <w:szCs w:val="24"/>
          <w:lang w:val="en-US"/>
        </w:rPr>
        <w:t>ing</w:t>
      </w:r>
      <w:r w:rsidR="00C7111D" w:rsidRPr="00BD2FEF">
        <w:rPr>
          <w:rFonts w:cs="Times New Roman"/>
          <w:szCs w:val="24"/>
          <w:lang w:val="en-US"/>
        </w:rPr>
        <w:t xml:space="preserve"> 10000 sets of 16 inter-event periods based on the r</w:t>
      </w:r>
      <w:r w:rsidR="00C7111D" w:rsidRPr="00771039">
        <w:rPr>
          <w:rFonts w:cs="Times New Roman"/>
          <w:szCs w:val="24"/>
          <w:lang w:val="en-US"/>
        </w:rPr>
        <w:t xml:space="preserve">esults from the probabilistic ages of </w:t>
      </w:r>
      <w:r w:rsidR="000D2207" w:rsidRPr="00771039">
        <w:rPr>
          <w:rFonts w:cs="Times New Roman"/>
          <w:szCs w:val="24"/>
          <w:lang w:val="en-US"/>
        </w:rPr>
        <w:t>tsunami deposits</w:t>
      </w:r>
      <w:r w:rsidR="00C7111D" w:rsidRPr="00771039">
        <w:rPr>
          <w:rFonts w:cs="Times New Roman"/>
          <w:szCs w:val="24"/>
          <w:lang w:val="en-US"/>
        </w:rPr>
        <w:t xml:space="preserve"> from the B</w:t>
      </w:r>
      <w:r w:rsidR="0053316B" w:rsidRPr="00771039">
        <w:rPr>
          <w:rFonts w:cs="Times New Roman"/>
          <w:szCs w:val="24"/>
          <w:lang w:val="en-US"/>
        </w:rPr>
        <w:t>ACON</w:t>
      </w:r>
      <w:r w:rsidR="00C7111D" w:rsidRPr="00771039">
        <w:rPr>
          <w:rFonts w:cs="Times New Roman"/>
          <w:szCs w:val="24"/>
          <w:lang w:val="en-US"/>
        </w:rPr>
        <w:t xml:space="preserve"> algorithm </w:t>
      </w:r>
      <w:r w:rsidR="005524B6" w:rsidRPr="005524B6">
        <w:rPr>
          <w:rFonts w:cs="Times New Roman"/>
          <w:color w:val="4F81BD" w:themeColor="accent1"/>
          <w:szCs w:val="24"/>
          <w:lang w:val="en-US"/>
        </w:rPr>
        <w:t>(Blaauw and Christen, 2011)</w:t>
      </w:r>
      <w:r w:rsidR="00C7111D" w:rsidRPr="00C27413">
        <w:rPr>
          <w:rFonts w:cs="Times New Roman"/>
          <w:szCs w:val="24"/>
          <w:lang w:val="en-US"/>
        </w:rPr>
        <w:t xml:space="preserve"> in the sedimentary record of Lake Huelde</w:t>
      </w:r>
      <w:r w:rsidR="005524B6">
        <w:rPr>
          <w:rFonts w:cs="Times New Roman"/>
          <w:szCs w:val="24"/>
          <w:lang w:val="en-US"/>
        </w:rPr>
        <w:t xml:space="preserve"> </w:t>
      </w:r>
      <w:r w:rsidR="005524B6" w:rsidRPr="005524B6">
        <w:rPr>
          <w:rFonts w:cs="Times New Roman"/>
          <w:color w:val="4F81BD" w:themeColor="accent1"/>
          <w:szCs w:val="24"/>
          <w:lang w:val="en-US"/>
        </w:rPr>
        <w:t>(Kempf et al., 2017)</w:t>
      </w:r>
      <w:r w:rsidR="00C7111D" w:rsidRPr="00C27413">
        <w:rPr>
          <w:rFonts w:cs="Times New Roman"/>
          <w:szCs w:val="24"/>
          <w:lang w:val="en-US"/>
        </w:rPr>
        <w:t xml:space="preserve">. All 10000 </w:t>
      </w:r>
      <w:r w:rsidR="000D2207" w:rsidRPr="00C27413">
        <w:rPr>
          <w:rFonts w:cs="Times New Roman"/>
          <w:szCs w:val="24"/>
          <w:lang w:val="en-US"/>
        </w:rPr>
        <w:t xml:space="preserve">sets </w:t>
      </w:r>
      <w:r w:rsidR="00373F64" w:rsidRPr="00BD2FEF">
        <w:rPr>
          <w:rFonts w:cs="Times New Roman"/>
          <w:szCs w:val="24"/>
          <w:lang w:val="en-US"/>
        </w:rPr>
        <w:t xml:space="preserve">of </w:t>
      </w:r>
      <w:r w:rsidR="00C7111D" w:rsidRPr="00BD2FEF">
        <w:rPr>
          <w:rFonts w:cs="Times New Roman"/>
          <w:szCs w:val="24"/>
          <w:lang w:val="en-US"/>
        </w:rPr>
        <w:t>simulated records are put through the Cox and Oakes test for exponentialit</w:t>
      </w:r>
      <w:r w:rsidR="00C7111D" w:rsidRPr="00771039">
        <w:rPr>
          <w:rFonts w:cs="Times New Roman"/>
          <w:szCs w:val="24"/>
          <w:lang w:val="en-US"/>
        </w:rPr>
        <w:t xml:space="preserve">y and the results are plotted as a histogram </w:t>
      </w:r>
      <w:r w:rsidR="00C7111D" w:rsidRPr="00771039">
        <w:rPr>
          <w:rFonts w:cs="Times New Roman"/>
          <w:color w:val="C0504D" w:themeColor="accent2"/>
          <w:szCs w:val="24"/>
          <w:lang w:val="en-US"/>
        </w:rPr>
        <w:t>(Fig. 3, black line)</w:t>
      </w:r>
      <w:r w:rsidR="00C7111D" w:rsidRPr="00771039">
        <w:rPr>
          <w:rFonts w:cs="Times New Roman"/>
          <w:szCs w:val="24"/>
          <w:lang w:val="en-US"/>
        </w:rPr>
        <w:t>. The histogram of the test</w:t>
      </w:r>
      <w:r w:rsidR="00C60AD5" w:rsidRPr="00771039">
        <w:rPr>
          <w:rFonts w:cs="Times New Roman"/>
          <w:szCs w:val="24"/>
          <w:lang w:val="en-US"/>
        </w:rPr>
        <w:t xml:space="preserve"> result</w:t>
      </w:r>
      <w:r w:rsidR="00C7111D" w:rsidRPr="00771039">
        <w:rPr>
          <w:rFonts w:cs="Times New Roman"/>
          <w:szCs w:val="24"/>
          <w:lang w:val="en-US"/>
        </w:rPr>
        <w:t xml:space="preserve"> </w:t>
      </w:r>
      <w:r w:rsidR="00C60AD5" w:rsidRPr="00771039">
        <w:rPr>
          <w:rFonts w:cs="Times New Roman"/>
          <w:szCs w:val="24"/>
          <w:lang w:val="en-US"/>
        </w:rPr>
        <w:t>of</w:t>
      </w:r>
      <w:r w:rsidR="007A6B41" w:rsidRPr="00771039">
        <w:rPr>
          <w:rFonts w:cs="Times New Roman"/>
          <w:szCs w:val="24"/>
          <w:lang w:val="en-US"/>
        </w:rPr>
        <w:t xml:space="preserve"> the Lake Huelde dataset </w:t>
      </w:r>
      <w:r w:rsidR="00C7111D" w:rsidRPr="00771039">
        <w:rPr>
          <w:rFonts w:cs="Times New Roman"/>
          <w:szCs w:val="24"/>
          <w:lang w:val="en-US"/>
        </w:rPr>
        <w:t xml:space="preserve">is entirely offset from 0 towards </w:t>
      </w:r>
      <w:r w:rsidR="00E82EED" w:rsidRPr="00771039">
        <w:rPr>
          <w:rFonts w:cs="Times New Roman"/>
          <w:szCs w:val="24"/>
          <w:lang w:val="en-US"/>
        </w:rPr>
        <w:t xml:space="preserve">greater </w:t>
      </w:r>
      <w:r w:rsidR="00C7111D" w:rsidRPr="00771039">
        <w:rPr>
          <w:rFonts w:cs="Times New Roman"/>
          <w:szCs w:val="24"/>
          <w:lang w:val="en-US"/>
        </w:rPr>
        <w:t xml:space="preserve">numbers </w:t>
      </w:r>
      <w:r w:rsidR="00373F64" w:rsidRPr="00771039">
        <w:rPr>
          <w:rFonts w:cs="Times New Roman"/>
          <w:szCs w:val="24"/>
          <w:lang w:val="en-US"/>
        </w:rPr>
        <w:t xml:space="preserve">and </w:t>
      </w:r>
      <w:r w:rsidR="00C7111D" w:rsidRPr="00771039">
        <w:rPr>
          <w:rFonts w:cs="Times New Roman"/>
          <w:szCs w:val="24"/>
          <w:lang w:val="en-US"/>
        </w:rPr>
        <w:t xml:space="preserve">therefore we can reject the null hypothesis of exponentiality </w:t>
      </w:r>
      <w:r w:rsidR="00373F64" w:rsidRPr="00771039">
        <w:rPr>
          <w:rFonts w:cs="Times New Roman"/>
          <w:szCs w:val="24"/>
          <w:lang w:val="en-US"/>
        </w:rPr>
        <w:t xml:space="preserve">of tsunami inundation </w:t>
      </w:r>
      <w:r w:rsidR="00C7111D" w:rsidRPr="00771039">
        <w:rPr>
          <w:rFonts w:cs="Times New Roman"/>
          <w:szCs w:val="24"/>
          <w:lang w:val="en-US"/>
        </w:rPr>
        <w:t xml:space="preserve">in the Lake Huelde dataset. </w:t>
      </w:r>
    </w:p>
    <w:p w14:paraId="2C089499" w14:textId="78060A41" w:rsidR="000D2207" w:rsidRDefault="000D2207" w:rsidP="000054FC">
      <w:pPr>
        <w:rPr>
          <w:rFonts w:cs="Times New Roman"/>
          <w:szCs w:val="24"/>
          <w:lang w:val="en-US"/>
        </w:rPr>
      </w:pPr>
      <w:r w:rsidRPr="00771039">
        <w:rPr>
          <w:rFonts w:cs="Times New Roman"/>
          <w:szCs w:val="24"/>
          <w:lang w:val="en-US"/>
        </w:rPr>
        <w:t>Since all tsunami deposits in Lake Huelde are suggested to be from near-field tsunamis</w:t>
      </w:r>
      <w:r w:rsidR="005524B6">
        <w:rPr>
          <w:rFonts w:cs="Times New Roman"/>
          <w:color w:val="3366FF"/>
          <w:szCs w:val="24"/>
          <w:lang w:val="en-US"/>
        </w:rPr>
        <w:t xml:space="preserve"> </w:t>
      </w:r>
      <w:r w:rsidR="005524B6" w:rsidRPr="005524B6">
        <w:rPr>
          <w:rFonts w:cs="Times New Roman"/>
          <w:color w:val="4F81BD" w:themeColor="accent1"/>
          <w:szCs w:val="24"/>
          <w:lang w:val="en-US"/>
        </w:rPr>
        <w:t>(Kempf et al., 2017)</w:t>
      </w:r>
      <w:r w:rsidRPr="00C27413">
        <w:rPr>
          <w:rFonts w:cs="Times New Roman"/>
          <w:szCs w:val="24"/>
          <w:lang w:val="en-US"/>
        </w:rPr>
        <w:t>, it appears that the</w:t>
      </w:r>
      <w:r w:rsidR="000F7439" w:rsidRPr="00C27413">
        <w:rPr>
          <w:rFonts w:cs="Times New Roman"/>
          <w:szCs w:val="24"/>
          <w:lang w:val="en-US"/>
        </w:rPr>
        <w:t xml:space="preserve"> tsunamigenic earthquakes on the seismic segment of the 1960 rupture zone are not time-independent. </w:t>
      </w:r>
    </w:p>
    <w:p w14:paraId="1AC45E52" w14:textId="53C1CBFC" w:rsidR="000054FC" w:rsidRDefault="000054FC" w:rsidP="000054FC">
      <w:pPr>
        <w:rPr>
          <w:lang w:val="en-US"/>
        </w:rPr>
      </w:pPr>
      <w:r>
        <w:rPr>
          <w:noProof/>
          <w:lang w:val="en-US"/>
        </w:rPr>
        <w:lastRenderedPageBreak/>
        <w:drawing>
          <wp:inline distT="0" distB="0" distL="0" distR="0" wp14:anchorId="45C6FF18" wp14:editId="0DC4F65B">
            <wp:extent cx="5256000" cy="5217372"/>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4 - statistical exploration of rare event records.pdf"/>
                    <pic:cNvPicPr/>
                  </pic:nvPicPr>
                  <pic:blipFill>
                    <a:blip r:embed="rId11"/>
                    <a:stretch>
                      <a:fillRect/>
                    </a:stretch>
                  </pic:blipFill>
                  <pic:spPr>
                    <a:xfrm>
                      <a:off x="0" y="0"/>
                      <a:ext cx="5256000" cy="5217372"/>
                    </a:xfrm>
                    <a:prstGeom prst="rect">
                      <a:avLst/>
                    </a:prstGeom>
                  </pic:spPr>
                </pic:pic>
              </a:graphicData>
            </a:graphic>
          </wp:inline>
        </w:drawing>
      </w:r>
    </w:p>
    <w:p w14:paraId="07168EF4" w14:textId="77777777" w:rsidR="000054FC" w:rsidRPr="000054FC" w:rsidRDefault="000054FC" w:rsidP="000054FC">
      <w:pPr>
        <w:rPr>
          <w:rFonts w:cs="Times New Roman"/>
          <w:i/>
          <w:lang w:val="en-US"/>
        </w:rPr>
      </w:pPr>
      <w:r w:rsidRPr="000054FC">
        <w:rPr>
          <w:rFonts w:cs="Times New Roman"/>
          <w:b/>
          <w:i/>
          <w:lang w:val="en-US"/>
        </w:rPr>
        <w:t>Figure 4</w:t>
      </w:r>
      <w:r w:rsidRPr="000054FC">
        <w:rPr>
          <w:rFonts w:cs="Times New Roman"/>
          <w:i/>
          <w:lang w:val="en-US"/>
        </w:rPr>
        <w:t>: a) six synthetic recurrence models, all scaled to have a mean of 100 years; in b) the standard deviation is used to describe how the accuracy of the mean inter-event period of a dataset changes depending on the number of samples that are considered; c) describes how the standard deviation of a dataset approaches the standard deviation of the underlying process; d-</w:t>
      </w:r>
      <w:proofErr w:type="spellStart"/>
      <w:r w:rsidRPr="000054FC">
        <w:rPr>
          <w:rFonts w:cs="Times New Roman"/>
          <w:i/>
          <w:lang w:val="en-US"/>
        </w:rPr>
        <w:t>i</w:t>
      </w:r>
      <w:proofErr w:type="spellEnd"/>
      <w:r w:rsidRPr="000054FC">
        <w:rPr>
          <w:rFonts w:cs="Times New Roman"/>
          <w:i/>
          <w:lang w:val="en-US"/>
        </w:rPr>
        <w:t xml:space="preserve">) illustrate how the accuracy of descriptive statistics on datasets change with sample size for the six synthetic models. Compared across the models, the Gaussian model can be accurately described with the lowest sample number. The Poissonian and supercycle model need the greatest sample numbers for accurate statistic description. </w:t>
      </w:r>
    </w:p>
    <w:p w14:paraId="78C1547D" w14:textId="611592D6" w:rsidR="000D2207" w:rsidRPr="00771039" w:rsidRDefault="000D2207" w:rsidP="000054FC">
      <w:pPr>
        <w:pStyle w:val="Heading1"/>
        <w:rPr>
          <w:lang w:val="en-US"/>
        </w:rPr>
      </w:pPr>
      <w:r w:rsidRPr="00771039">
        <w:rPr>
          <w:lang w:val="en-US"/>
        </w:rPr>
        <w:t xml:space="preserve">Inter-event </w:t>
      </w:r>
      <w:r w:rsidR="006E6D2A" w:rsidRPr="00771039">
        <w:rPr>
          <w:lang w:val="en-US"/>
        </w:rPr>
        <w:t>period</w:t>
      </w:r>
      <w:r w:rsidRPr="00771039">
        <w:rPr>
          <w:lang w:val="en-US"/>
        </w:rPr>
        <w:t xml:space="preserve"> modelling</w:t>
      </w:r>
    </w:p>
    <w:p w14:paraId="60398307" w14:textId="5058EE35" w:rsidR="000D2207" w:rsidRPr="00C27413" w:rsidRDefault="00F36D15" w:rsidP="000054FC">
      <w:pPr>
        <w:rPr>
          <w:lang w:val="en-US"/>
        </w:rPr>
      </w:pPr>
      <w:r w:rsidRPr="00771039">
        <w:rPr>
          <w:lang w:val="en-US"/>
        </w:rPr>
        <w:t>For south central Chile t</w:t>
      </w:r>
      <w:r w:rsidR="000D2207" w:rsidRPr="00771039">
        <w:rPr>
          <w:lang w:val="en-US"/>
        </w:rPr>
        <w:t>he question remains</w:t>
      </w:r>
      <w:r w:rsidR="00C90D98" w:rsidRPr="00771039">
        <w:rPr>
          <w:lang w:val="en-US"/>
        </w:rPr>
        <w:t>,</w:t>
      </w:r>
      <w:r w:rsidR="000D2207" w:rsidRPr="00771039">
        <w:rPr>
          <w:lang w:val="en-US"/>
        </w:rPr>
        <w:t xml:space="preserve"> </w:t>
      </w:r>
      <w:r w:rsidR="007E7F60" w:rsidRPr="00771039">
        <w:rPr>
          <w:lang w:val="en-US"/>
        </w:rPr>
        <w:t>whether</w:t>
      </w:r>
      <w:r w:rsidR="000D2207" w:rsidRPr="00771039">
        <w:rPr>
          <w:lang w:val="en-US"/>
        </w:rPr>
        <w:t xml:space="preserve"> 16 inter-event periods </w:t>
      </w:r>
      <w:r w:rsidR="00B84A50" w:rsidRPr="00771039">
        <w:rPr>
          <w:lang w:val="en-US"/>
        </w:rPr>
        <w:t>are</w:t>
      </w:r>
      <w:r w:rsidR="007E7F60" w:rsidRPr="00771039">
        <w:rPr>
          <w:lang w:val="en-US"/>
        </w:rPr>
        <w:t xml:space="preserve"> </w:t>
      </w:r>
      <w:r w:rsidR="000D2207" w:rsidRPr="00771039">
        <w:rPr>
          <w:lang w:val="en-US"/>
        </w:rPr>
        <w:t xml:space="preserve">enough to draw </w:t>
      </w:r>
      <w:r w:rsidR="002B1230" w:rsidRPr="00771039">
        <w:rPr>
          <w:lang w:val="en-US"/>
        </w:rPr>
        <w:t>a statis</w:t>
      </w:r>
      <w:r w:rsidR="006E6D2A" w:rsidRPr="00771039">
        <w:rPr>
          <w:lang w:val="en-US"/>
        </w:rPr>
        <w:t>ti</w:t>
      </w:r>
      <w:r w:rsidR="002B1230" w:rsidRPr="00771039">
        <w:rPr>
          <w:lang w:val="en-US"/>
        </w:rPr>
        <w:t xml:space="preserve">cally robust </w:t>
      </w:r>
      <w:r w:rsidR="000D2207" w:rsidRPr="00771039">
        <w:rPr>
          <w:lang w:val="en-US"/>
        </w:rPr>
        <w:t xml:space="preserve">conclusion from </w:t>
      </w:r>
      <w:r w:rsidR="007E7F60" w:rsidRPr="00771039">
        <w:rPr>
          <w:lang w:val="en-US"/>
        </w:rPr>
        <w:t>a</w:t>
      </w:r>
      <w:r w:rsidR="002B1230" w:rsidRPr="00771039">
        <w:rPr>
          <w:lang w:val="en-US"/>
        </w:rPr>
        <w:t xml:space="preserve"> </w:t>
      </w:r>
      <w:r w:rsidR="000D2207" w:rsidRPr="00771039">
        <w:rPr>
          <w:lang w:val="en-US"/>
        </w:rPr>
        <w:t>dataset towards the overall recurrence pattern</w:t>
      </w:r>
      <w:r w:rsidR="007E7F60" w:rsidRPr="00771039">
        <w:rPr>
          <w:lang w:val="en-US"/>
        </w:rPr>
        <w:t>.</w:t>
      </w:r>
      <w:r w:rsidR="000D2207" w:rsidRPr="00771039">
        <w:rPr>
          <w:lang w:val="en-US"/>
        </w:rPr>
        <w:t xml:space="preserve"> To assess the reliability of geological records of events, which often suffer from low sample number, we created six recurrence models</w:t>
      </w:r>
      <w:r w:rsidR="007E7F60" w:rsidRPr="00771039">
        <w:rPr>
          <w:lang w:val="en-US"/>
        </w:rPr>
        <w:t xml:space="preserve">, i.e. Gaussian model, exponential power model, Lake Huelde model, uniform model, Poissonian model and supercycle model </w:t>
      </w:r>
      <w:r w:rsidR="007E7F60" w:rsidRPr="005524B6">
        <w:rPr>
          <w:color w:val="C00000"/>
          <w:lang w:val="en-US"/>
        </w:rPr>
        <w:t>(Fig. 4a</w:t>
      </w:r>
      <w:r w:rsidR="00E233CB" w:rsidRPr="005524B6">
        <w:rPr>
          <w:color w:val="C00000"/>
          <w:lang w:val="en-US"/>
        </w:rPr>
        <w:t xml:space="preserve">; Tab. </w:t>
      </w:r>
      <w:r w:rsidR="00AA6BDE" w:rsidRPr="005524B6">
        <w:rPr>
          <w:color w:val="C00000"/>
          <w:lang w:val="en-US"/>
        </w:rPr>
        <w:t>S</w:t>
      </w:r>
      <w:r w:rsidR="00E233CB" w:rsidRPr="005524B6">
        <w:rPr>
          <w:color w:val="C00000"/>
          <w:lang w:val="en-US"/>
        </w:rPr>
        <w:t>2</w:t>
      </w:r>
      <w:r w:rsidR="00AC0FF4">
        <w:rPr>
          <w:rFonts w:cs="Times New Roman"/>
          <w:szCs w:val="24"/>
          <w:lang w:val="en-US"/>
        </w:rPr>
        <w:t>,</w:t>
      </w:r>
      <w:r w:rsidR="00AC0FF4" w:rsidRPr="000F17BE">
        <w:rPr>
          <w:rFonts w:cs="Times New Roman"/>
          <w:szCs w:val="24"/>
          <w:lang w:val="en-US"/>
        </w:rPr>
        <w:t xml:space="preserve"> available in the electronic supplement to this article</w:t>
      </w:r>
      <w:r w:rsidR="007E7F60" w:rsidRPr="005524B6">
        <w:rPr>
          <w:color w:val="C00000"/>
          <w:lang w:val="en-US"/>
        </w:rPr>
        <w:t>)</w:t>
      </w:r>
      <w:r w:rsidR="000D2207" w:rsidRPr="00771039">
        <w:rPr>
          <w:lang w:val="en-US"/>
        </w:rPr>
        <w:t>. They are all scaled to have a mean inter-event period of 100 years</w:t>
      </w:r>
      <w:r w:rsidR="00A15526" w:rsidRPr="00771039">
        <w:rPr>
          <w:lang w:val="en-US"/>
        </w:rPr>
        <w:t>.</w:t>
      </w:r>
      <w:r w:rsidR="000D2207" w:rsidRPr="00771039">
        <w:rPr>
          <w:lang w:val="en-US"/>
        </w:rPr>
        <w:t xml:space="preserve"> </w:t>
      </w:r>
      <w:r w:rsidR="000D2207" w:rsidRPr="00771039">
        <w:rPr>
          <w:lang w:val="en-US"/>
        </w:rPr>
        <w:lastRenderedPageBreak/>
        <w:t xml:space="preserve">However, the time unit is interchangeable, so </w:t>
      </w:r>
      <w:r w:rsidR="002B1230" w:rsidRPr="00771039">
        <w:rPr>
          <w:lang w:val="en-US"/>
        </w:rPr>
        <w:t>that it can be applied to</w:t>
      </w:r>
      <w:r w:rsidR="000D2207" w:rsidRPr="00771039">
        <w:rPr>
          <w:lang w:val="en-US"/>
        </w:rPr>
        <w:t xml:space="preserve"> studies of other events, e.g. volcano eruptions, floods, tropical cyclones, glacial lake outburst floods, </w:t>
      </w:r>
      <w:r w:rsidR="00A15526" w:rsidRPr="00771039">
        <w:rPr>
          <w:lang w:val="en-US"/>
        </w:rPr>
        <w:t>glacier surges etc</w:t>
      </w:r>
      <w:r w:rsidR="006A56EA" w:rsidRPr="00771039">
        <w:rPr>
          <w:lang w:val="en-US"/>
        </w:rPr>
        <w:t>.</w:t>
      </w:r>
      <w:r w:rsidR="00A15526" w:rsidRPr="00771039">
        <w:rPr>
          <w:lang w:val="en-US"/>
        </w:rPr>
        <w:t xml:space="preserve"> When a specific comparison is made to a </w:t>
      </w:r>
      <w:r w:rsidR="003A2716" w:rsidRPr="00771039">
        <w:rPr>
          <w:lang w:val="en-US"/>
        </w:rPr>
        <w:t>real-world</w:t>
      </w:r>
      <w:r w:rsidR="00A15526" w:rsidRPr="00771039">
        <w:rPr>
          <w:lang w:val="en-US"/>
        </w:rPr>
        <w:t xml:space="preserve"> example it is the shape of the distribution that is meant, not the absolute values. </w:t>
      </w:r>
      <w:r w:rsidR="006A56EA" w:rsidRPr="00771039">
        <w:rPr>
          <w:lang w:val="en-US"/>
        </w:rPr>
        <w:t>The models are</w:t>
      </w:r>
      <w:r w:rsidR="00FC1AC1" w:rsidRPr="00771039">
        <w:rPr>
          <w:lang w:val="en-US"/>
        </w:rPr>
        <w:t xml:space="preserve"> described below and the coefficient of variance is stated</w:t>
      </w:r>
      <w:r w:rsidR="0003482C" w:rsidRPr="00771039">
        <w:rPr>
          <w:lang w:val="en-US"/>
        </w:rPr>
        <w:t xml:space="preserve"> to compare with several </w:t>
      </w:r>
      <w:r w:rsidR="00FC1AC1" w:rsidRPr="00771039">
        <w:rPr>
          <w:lang w:val="en-US"/>
        </w:rPr>
        <w:t>statistical analyses in the literature</w:t>
      </w:r>
      <w:r w:rsidR="00FE1A57" w:rsidRPr="00771039">
        <w:rPr>
          <w:lang w:val="en-US"/>
        </w:rPr>
        <w:t xml:space="preserve"> </w:t>
      </w:r>
      <w:r w:rsidR="00FE1A57" w:rsidRPr="00771039">
        <w:rPr>
          <w:color w:val="C0504D" w:themeColor="accent2"/>
          <w:lang w:val="en-US"/>
        </w:rPr>
        <w:t>(Fig. 4a)</w:t>
      </w:r>
      <w:r w:rsidR="00730A9F">
        <w:rPr>
          <w:color w:val="C0504D" w:themeColor="accent2"/>
          <w:lang w:val="en-US"/>
        </w:rPr>
        <w:t xml:space="preserve"> </w:t>
      </w:r>
      <w:r w:rsidR="00730A9F" w:rsidRPr="00730A9F">
        <w:rPr>
          <w:color w:val="4F81BD" w:themeColor="accent1"/>
          <w:lang w:val="en-US"/>
        </w:rPr>
        <w:t>(Kulkarni et al., 2013; Moernaut et al., 2018)</w:t>
      </w:r>
      <w:r w:rsidR="000D2207" w:rsidRPr="00C27413">
        <w:rPr>
          <w:lang w:val="en-US"/>
        </w:rPr>
        <w:t>:</w:t>
      </w:r>
    </w:p>
    <w:p w14:paraId="0ABBC390" w14:textId="2BBD15D2" w:rsidR="000D2207" w:rsidRPr="00771039" w:rsidRDefault="005E7B74" w:rsidP="000054FC">
      <w:pPr>
        <w:pStyle w:val="ListParagraph"/>
        <w:numPr>
          <w:ilvl w:val="0"/>
          <w:numId w:val="5"/>
        </w:numPr>
        <w:rPr>
          <w:lang w:val="en-US"/>
        </w:rPr>
      </w:pPr>
      <w:r w:rsidRPr="00771039">
        <w:rPr>
          <w:lang w:val="en-US"/>
        </w:rPr>
        <w:t>G</w:t>
      </w:r>
      <w:r w:rsidR="0003482C" w:rsidRPr="00771039">
        <w:rPr>
          <w:lang w:val="en-US"/>
        </w:rPr>
        <w:t xml:space="preserve">aussian </w:t>
      </w:r>
      <w:r w:rsidR="006A56EA" w:rsidRPr="00771039">
        <w:rPr>
          <w:lang w:val="en-US"/>
        </w:rPr>
        <w:t xml:space="preserve">model – a normally distributed recurrence pattern with the mean of 100 </w:t>
      </w:r>
      <w:r w:rsidR="00A15526" w:rsidRPr="00771039">
        <w:rPr>
          <w:lang w:val="en-US"/>
        </w:rPr>
        <w:t xml:space="preserve">years </w:t>
      </w:r>
      <w:r w:rsidR="006A56EA" w:rsidRPr="00771039">
        <w:rPr>
          <w:lang w:val="en-US"/>
        </w:rPr>
        <w:t>and the</w:t>
      </w:r>
      <w:r w:rsidR="00DF7864" w:rsidRPr="00771039">
        <w:rPr>
          <w:lang w:val="en-US"/>
        </w:rPr>
        <w:t xml:space="preserve"> standard deviation of 20 years.</w:t>
      </w:r>
      <w:r w:rsidR="00B74997" w:rsidRPr="00771039">
        <w:rPr>
          <w:lang w:val="en-US"/>
        </w:rPr>
        <w:t xml:space="preserve"> </w:t>
      </w:r>
      <w:r w:rsidR="00FC1AC1" w:rsidRPr="00771039">
        <w:rPr>
          <w:lang w:val="en-US"/>
        </w:rPr>
        <w:t xml:space="preserve">The </w:t>
      </w:r>
      <w:r w:rsidR="006F3881" w:rsidRPr="00771039">
        <w:rPr>
          <w:lang w:val="en-US"/>
        </w:rPr>
        <w:t>COV</w:t>
      </w:r>
      <w:r w:rsidR="00FC1AC1" w:rsidRPr="00771039">
        <w:rPr>
          <w:lang w:val="en-US"/>
        </w:rPr>
        <w:t xml:space="preserve"> is </w:t>
      </w:r>
      <w:r w:rsidR="0003482C" w:rsidRPr="00771039">
        <w:rPr>
          <w:lang w:val="en-US"/>
        </w:rPr>
        <w:t>0.</w:t>
      </w:r>
      <w:r w:rsidR="00FC1AC1" w:rsidRPr="00771039">
        <w:rPr>
          <w:lang w:val="en-US"/>
        </w:rPr>
        <w:t xml:space="preserve">20. </w:t>
      </w:r>
      <w:r w:rsidR="00DF7864" w:rsidRPr="00771039">
        <w:rPr>
          <w:lang w:val="en-US"/>
        </w:rPr>
        <w:t>Example:</w:t>
      </w:r>
      <w:r w:rsidR="00B74997" w:rsidRPr="00771039">
        <w:rPr>
          <w:lang w:val="en-US"/>
        </w:rPr>
        <w:t xml:space="preserve"> </w:t>
      </w:r>
      <w:r w:rsidR="00DF7864" w:rsidRPr="00771039">
        <w:rPr>
          <w:lang w:val="en-US"/>
        </w:rPr>
        <w:t>megathrust</w:t>
      </w:r>
      <w:r w:rsidR="00B74997" w:rsidRPr="00771039">
        <w:rPr>
          <w:lang w:val="en-US"/>
        </w:rPr>
        <w:t xml:space="preserve"> earthquakes in </w:t>
      </w:r>
      <w:r w:rsidR="00DF7864" w:rsidRPr="00771039">
        <w:rPr>
          <w:lang w:val="en-US"/>
        </w:rPr>
        <w:t xml:space="preserve">Alaska </w:t>
      </w:r>
      <w:r w:rsidR="00730A9F" w:rsidRPr="00730A9F">
        <w:rPr>
          <w:color w:val="4F81BD" w:themeColor="accent1"/>
          <w:lang w:val="en-US"/>
        </w:rPr>
        <w:t>(Shennan et al., 2014)</w:t>
      </w:r>
      <w:r w:rsidR="00C45280" w:rsidRPr="00C27413">
        <w:rPr>
          <w:lang w:val="en-US"/>
        </w:rPr>
        <w:t>, in this case 6 inter-event periods.</w:t>
      </w:r>
    </w:p>
    <w:p w14:paraId="0699667D" w14:textId="55F31C72" w:rsidR="006A56EA" w:rsidRPr="00771039" w:rsidRDefault="005E7B74" w:rsidP="000054FC">
      <w:pPr>
        <w:pStyle w:val="ListParagraph"/>
        <w:numPr>
          <w:ilvl w:val="0"/>
          <w:numId w:val="5"/>
        </w:numPr>
        <w:rPr>
          <w:lang w:val="en-US"/>
        </w:rPr>
      </w:pPr>
      <w:r w:rsidRPr="00771039">
        <w:rPr>
          <w:lang w:val="en-US"/>
        </w:rPr>
        <w:t>E</w:t>
      </w:r>
      <w:r w:rsidR="006A56EA" w:rsidRPr="00771039">
        <w:rPr>
          <w:lang w:val="en-US"/>
        </w:rPr>
        <w:t>x</w:t>
      </w:r>
      <w:r w:rsidR="00C90D98" w:rsidRPr="00771039">
        <w:rPr>
          <w:lang w:val="en-US"/>
        </w:rPr>
        <w:t>p</w:t>
      </w:r>
      <w:r w:rsidR="00133DE1" w:rsidRPr="00771039">
        <w:rPr>
          <w:lang w:val="en-US"/>
        </w:rPr>
        <w:t>onential power model – w</w:t>
      </w:r>
      <w:r w:rsidR="006A56EA" w:rsidRPr="00771039">
        <w:rPr>
          <w:lang w:val="en-US"/>
        </w:rPr>
        <w:t xml:space="preserve">e </w:t>
      </w:r>
      <w:r w:rsidR="00133DE1" w:rsidRPr="00771039">
        <w:rPr>
          <w:lang w:val="en-US"/>
        </w:rPr>
        <w:t xml:space="preserve">choose an </w:t>
      </w:r>
      <w:r w:rsidR="006A56EA" w:rsidRPr="00771039">
        <w:rPr>
          <w:lang w:val="en-US"/>
        </w:rPr>
        <w:t xml:space="preserve">exponential power distribution </w:t>
      </w:r>
      <w:r w:rsidR="00133DE1" w:rsidRPr="00771039">
        <w:rPr>
          <w:lang w:val="en-US"/>
        </w:rPr>
        <w:t xml:space="preserve">in order to produce a model between the normal distribution and a uniform distribution, i.e. a normal distribution with a plateau. It </w:t>
      </w:r>
      <w:r w:rsidR="006A56EA" w:rsidRPr="00771039">
        <w:rPr>
          <w:lang w:val="en-US"/>
        </w:rPr>
        <w:t>is</w:t>
      </w:r>
      <w:r w:rsidR="005E5652" w:rsidRPr="00771039">
        <w:rPr>
          <w:lang w:val="en-US"/>
        </w:rPr>
        <w:t xml:space="preserve"> defined by the mean</w:t>
      </w:r>
      <w:r w:rsidR="006A56EA" w:rsidRPr="00771039">
        <w:rPr>
          <w:lang w:val="en-US"/>
        </w:rPr>
        <w:t>, a s</w:t>
      </w:r>
      <w:r w:rsidR="005E5652" w:rsidRPr="00771039">
        <w:rPr>
          <w:lang w:val="en-US"/>
        </w:rPr>
        <w:t xml:space="preserve">caling </w:t>
      </w:r>
      <w:r w:rsidR="005E5652" w:rsidRPr="00771039">
        <w:rPr>
          <w:rFonts w:cs="Times New Roman"/>
          <w:lang w:val="en-US"/>
        </w:rPr>
        <w:t xml:space="preserve">parameter </w:t>
      </w:r>
      <w:r w:rsidR="005E5652" w:rsidRPr="00771039">
        <w:rPr>
          <w:rFonts w:cs="Times New Roman"/>
          <w:color w:val="000000"/>
          <w:lang w:val="en-US"/>
        </w:rPr>
        <w:t>α</w:t>
      </w:r>
      <w:r w:rsidR="005E5652" w:rsidRPr="00771039">
        <w:rPr>
          <w:rFonts w:cs="Times New Roman"/>
          <w:lang w:val="en-US"/>
        </w:rPr>
        <w:t xml:space="preserve"> </w:t>
      </w:r>
      <w:r w:rsidR="006A56EA" w:rsidRPr="00771039">
        <w:rPr>
          <w:rFonts w:cs="Times New Roman"/>
          <w:lang w:val="en-US"/>
        </w:rPr>
        <w:t>and a shape parameter</w:t>
      </w:r>
      <w:r w:rsidR="005E5652" w:rsidRPr="00771039">
        <w:rPr>
          <w:rFonts w:cs="Times New Roman"/>
          <w:color w:val="000000"/>
          <w:lang w:val="en-US"/>
        </w:rPr>
        <w:t xml:space="preserve"> β</w:t>
      </w:r>
      <w:r w:rsidR="006A56EA" w:rsidRPr="00771039">
        <w:rPr>
          <w:rFonts w:cs="Times New Roman"/>
          <w:lang w:val="en-US"/>
        </w:rPr>
        <w:t xml:space="preserve">. </w:t>
      </w:r>
      <w:r w:rsidR="005E5652" w:rsidRPr="00771039">
        <w:rPr>
          <w:rFonts w:cs="Times New Roman"/>
          <w:lang w:val="en-US"/>
        </w:rPr>
        <w:t xml:space="preserve">If </w:t>
      </w:r>
      <w:r w:rsidR="00133DE1" w:rsidRPr="00771039">
        <w:rPr>
          <w:rFonts w:cs="Times New Roman"/>
          <w:lang w:val="en-US"/>
        </w:rPr>
        <w:t xml:space="preserve">the shape parameter </w:t>
      </w:r>
      <w:r w:rsidR="005E5652" w:rsidRPr="00771039">
        <w:rPr>
          <w:rFonts w:cs="Times New Roman"/>
          <w:color w:val="000000"/>
          <w:lang w:val="en-US"/>
        </w:rPr>
        <w:t>β</w:t>
      </w:r>
      <w:r w:rsidR="005E5652" w:rsidRPr="00771039">
        <w:rPr>
          <w:rFonts w:cs="Times New Roman"/>
          <w:lang w:val="en-US"/>
        </w:rPr>
        <w:t xml:space="preserve"> =</w:t>
      </w:r>
      <w:r w:rsidR="00133DE1" w:rsidRPr="00771039">
        <w:rPr>
          <w:rFonts w:cs="Times New Roman"/>
          <w:lang w:val="en-US"/>
        </w:rPr>
        <w:t xml:space="preserve"> </w:t>
      </w:r>
      <w:r w:rsidR="005E5652" w:rsidRPr="00771039">
        <w:rPr>
          <w:rFonts w:cs="Times New Roman"/>
          <w:lang w:val="en-US"/>
        </w:rPr>
        <w:t>1, it</w:t>
      </w:r>
      <w:r w:rsidR="006A56EA" w:rsidRPr="00771039">
        <w:rPr>
          <w:lang w:val="en-US"/>
        </w:rPr>
        <w:t xml:space="preserve"> </w:t>
      </w:r>
      <w:r w:rsidR="00133DE1" w:rsidRPr="00771039">
        <w:rPr>
          <w:lang w:val="en-US"/>
        </w:rPr>
        <w:t>produces a Laplace distribution;</w:t>
      </w:r>
      <w:r w:rsidR="005E5652" w:rsidRPr="00771039">
        <w:rPr>
          <w:lang w:val="en-US"/>
        </w:rPr>
        <w:t xml:space="preserve"> if </w:t>
      </w:r>
      <w:r w:rsidR="005E5652" w:rsidRPr="00771039">
        <w:rPr>
          <w:rFonts w:cs="Times New Roman"/>
          <w:color w:val="000000"/>
          <w:lang w:val="en-US"/>
        </w:rPr>
        <w:t>β =</w:t>
      </w:r>
      <w:r w:rsidR="005E5652" w:rsidRPr="00771039">
        <w:rPr>
          <w:lang w:val="en-US"/>
        </w:rPr>
        <w:t xml:space="preserve"> </w:t>
      </w:r>
      <w:r w:rsidR="006A56EA" w:rsidRPr="00771039">
        <w:rPr>
          <w:lang w:val="en-US"/>
        </w:rPr>
        <w:t>2</w:t>
      </w:r>
      <w:r w:rsidR="00133DE1" w:rsidRPr="00771039">
        <w:rPr>
          <w:lang w:val="en-US"/>
        </w:rPr>
        <w:t xml:space="preserve"> it is</w:t>
      </w:r>
      <w:r w:rsidR="005E5652" w:rsidRPr="00771039">
        <w:rPr>
          <w:lang w:val="en-US"/>
        </w:rPr>
        <w:t xml:space="preserve"> </w:t>
      </w:r>
      <w:r w:rsidR="006A56EA" w:rsidRPr="00771039">
        <w:rPr>
          <w:lang w:val="en-US"/>
        </w:rPr>
        <w:t>a normal distribution</w:t>
      </w:r>
      <w:r w:rsidR="00133DE1" w:rsidRPr="00771039">
        <w:rPr>
          <w:lang w:val="en-US"/>
        </w:rPr>
        <w:t>;</w:t>
      </w:r>
      <w:r w:rsidR="006A56EA" w:rsidRPr="00771039">
        <w:rPr>
          <w:lang w:val="en-US"/>
        </w:rPr>
        <w:t xml:space="preserve"> </w:t>
      </w:r>
      <w:r w:rsidR="005E5652" w:rsidRPr="00771039">
        <w:rPr>
          <w:lang w:val="en-US"/>
        </w:rPr>
        <w:t xml:space="preserve">if </w:t>
      </w:r>
      <w:r w:rsidR="005E5652" w:rsidRPr="00771039">
        <w:rPr>
          <w:rFonts w:cs="Times New Roman"/>
          <w:color w:val="000000"/>
          <w:lang w:val="en-US"/>
        </w:rPr>
        <w:t>β</w:t>
      </w:r>
      <w:r w:rsidR="005E5652" w:rsidRPr="00771039">
        <w:rPr>
          <w:lang w:val="en-US"/>
        </w:rPr>
        <w:t xml:space="preserve"> = </w:t>
      </w:r>
      <w:r w:rsidR="005E5652" w:rsidRPr="00771039">
        <w:rPr>
          <w:rFonts w:ascii="MS Gothic" w:eastAsia="MS Gothic"/>
          <w:color w:val="000000"/>
          <w:lang w:val="en-US"/>
        </w:rPr>
        <w:t>∞</w:t>
      </w:r>
      <w:r w:rsidR="00133DE1" w:rsidRPr="00771039">
        <w:rPr>
          <w:lang w:val="en-US"/>
        </w:rPr>
        <w:t xml:space="preserve"> it is</w:t>
      </w:r>
      <w:r w:rsidR="005E5652" w:rsidRPr="00771039">
        <w:rPr>
          <w:lang w:val="en-US"/>
        </w:rPr>
        <w:t xml:space="preserve"> </w:t>
      </w:r>
      <w:r w:rsidR="006A56EA" w:rsidRPr="00771039">
        <w:rPr>
          <w:lang w:val="en-US"/>
        </w:rPr>
        <w:t>a uniform distribution. We cho</w:t>
      </w:r>
      <w:r w:rsidR="0003482C" w:rsidRPr="00771039">
        <w:rPr>
          <w:lang w:val="en-US"/>
        </w:rPr>
        <w:t>o</w:t>
      </w:r>
      <w:r w:rsidR="006A56EA" w:rsidRPr="00771039">
        <w:rPr>
          <w:lang w:val="en-US"/>
        </w:rPr>
        <w:t xml:space="preserve">se </w:t>
      </w:r>
      <w:r w:rsidR="005E5652" w:rsidRPr="00771039">
        <w:rPr>
          <w:rFonts w:cs="Times New Roman"/>
          <w:color w:val="000000"/>
          <w:lang w:val="en-US"/>
        </w:rPr>
        <w:t>β =</w:t>
      </w:r>
      <w:r w:rsidR="005E5652" w:rsidRPr="00771039">
        <w:rPr>
          <w:lang w:val="en-US"/>
        </w:rPr>
        <w:t xml:space="preserve"> </w:t>
      </w:r>
      <w:r w:rsidR="006A56EA" w:rsidRPr="00771039">
        <w:rPr>
          <w:lang w:val="en-US"/>
        </w:rPr>
        <w:t>8</w:t>
      </w:r>
      <w:r w:rsidR="00133DE1" w:rsidRPr="00771039">
        <w:rPr>
          <w:lang w:val="en-US"/>
        </w:rPr>
        <w:t>.</w:t>
      </w:r>
      <w:r w:rsidR="005E5652" w:rsidRPr="00771039">
        <w:rPr>
          <w:lang w:val="en-US"/>
        </w:rPr>
        <w:t xml:space="preserve"> </w:t>
      </w:r>
      <w:r w:rsidR="00FC1AC1" w:rsidRPr="00771039">
        <w:rPr>
          <w:lang w:val="en-US"/>
        </w:rPr>
        <w:t>The coefficient of variance</w:t>
      </w:r>
      <w:r w:rsidR="00133DE1" w:rsidRPr="00771039">
        <w:rPr>
          <w:lang w:val="en-US"/>
        </w:rPr>
        <w:t xml:space="preserve"> in this case</w:t>
      </w:r>
      <w:r w:rsidR="00FC1AC1" w:rsidRPr="00771039">
        <w:rPr>
          <w:lang w:val="en-US"/>
        </w:rPr>
        <w:t xml:space="preserve"> is 0.4</w:t>
      </w:r>
      <w:r w:rsidR="006F3881" w:rsidRPr="00771039">
        <w:rPr>
          <w:lang w:val="en-US"/>
        </w:rPr>
        <w:t>4</w:t>
      </w:r>
      <w:r w:rsidR="00FC1AC1" w:rsidRPr="00771039">
        <w:rPr>
          <w:lang w:val="en-US"/>
        </w:rPr>
        <w:t xml:space="preserve">. </w:t>
      </w:r>
      <w:r w:rsidR="00347B6D" w:rsidRPr="00771039">
        <w:rPr>
          <w:lang w:val="en-US"/>
        </w:rPr>
        <w:t>Example: seismoturbidites from Lake Calafquen</w:t>
      </w:r>
      <w:r w:rsidR="00703ABC" w:rsidRPr="00771039">
        <w:rPr>
          <w:lang w:val="en-US"/>
        </w:rPr>
        <w:t xml:space="preserve"> </w:t>
      </w:r>
      <w:r w:rsidR="00703ABC" w:rsidRPr="00771039">
        <w:rPr>
          <w:color w:val="C00000"/>
          <w:lang w:val="en-US"/>
        </w:rPr>
        <w:t>(Fig. 1)</w:t>
      </w:r>
      <w:r w:rsidR="00133DE1" w:rsidRPr="00771039">
        <w:rPr>
          <w:lang w:val="en-US"/>
        </w:rPr>
        <w:t xml:space="preserve"> </w:t>
      </w:r>
      <w:r w:rsidR="00730A9F" w:rsidRPr="00730A9F">
        <w:rPr>
          <w:color w:val="4F81BD" w:themeColor="accent1"/>
          <w:lang w:val="en-US"/>
        </w:rPr>
        <w:t>(Moernaut et al., 2018)</w:t>
      </w:r>
      <w:r w:rsidR="00C45280" w:rsidRPr="00C27413">
        <w:rPr>
          <w:lang w:val="en-US"/>
        </w:rPr>
        <w:t xml:space="preserve">, </w:t>
      </w:r>
      <w:r w:rsidR="00C45280" w:rsidRPr="00BD2FEF">
        <w:rPr>
          <w:lang w:val="en-US"/>
        </w:rPr>
        <w:t>in this case 12 inter-event periods</w:t>
      </w:r>
      <w:r w:rsidR="00C45280" w:rsidRPr="00771039">
        <w:rPr>
          <w:lang w:val="en-US"/>
        </w:rPr>
        <w:t>.</w:t>
      </w:r>
    </w:p>
    <w:p w14:paraId="44CAA733" w14:textId="7EE80B1D" w:rsidR="006A56EA" w:rsidRPr="00BD2FEF" w:rsidRDefault="0003482C" w:rsidP="000054FC">
      <w:pPr>
        <w:pStyle w:val="ListParagraph"/>
        <w:numPr>
          <w:ilvl w:val="0"/>
          <w:numId w:val="5"/>
        </w:numPr>
        <w:rPr>
          <w:lang w:val="en-US"/>
        </w:rPr>
      </w:pPr>
      <w:r w:rsidRPr="00771039">
        <w:rPr>
          <w:lang w:val="en-US"/>
        </w:rPr>
        <w:t>Huelde</w:t>
      </w:r>
      <w:r w:rsidR="00873298" w:rsidRPr="00771039">
        <w:rPr>
          <w:lang w:val="en-US"/>
        </w:rPr>
        <w:t xml:space="preserve"> model –</w:t>
      </w:r>
      <w:r w:rsidR="005E5652" w:rsidRPr="00771039">
        <w:rPr>
          <w:lang w:val="en-US"/>
        </w:rPr>
        <w:t xml:space="preserve"> t</w:t>
      </w:r>
      <w:r w:rsidR="00873298" w:rsidRPr="00771039">
        <w:rPr>
          <w:lang w:val="en-US"/>
        </w:rPr>
        <w:t>his composite model consists of two gamma distribution</w:t>
      </w:r>
      <w:r w:rsidR="005E5652" w:rsidRPr="00771039">
        <w:rPr>
          <w:lang w:val="en-US"/>
        </w:rPr>
        <w:t>s</w:t>
      </w:r>
      <w:r w:rsidR="00873298" w:rsidRPr="00771039">
        <w:rPr>
          <w:lang w:val="en-US"/>
        </w:rPr>
        <w:t xml:space="preserve"> with similar shape parameters (</w:t>
      </w:r>
      <w:r w:rsidR="005E5652" w:rsidRPr="00771039">
        <w:rPr>
          <w:lang w:val="en-US"/>
        </w:rPr>
        <w:t>k</w:t>
      </w:r>
      <w:r w:rsidR="005E5652" w:rsidRPr="00771039">
        <w:rPr>
          <w:vertAlign w:val="subscript"/>
          <w:lang w:val="en-US"/>
        </w:rPr>
        <w:t>1</w:t>
      </w:r>
      <w:r w:rsidR="005E5652" w:rsidRPr="00771039">
        <w:rPr>
          <w:lang w:val="en-US"/>
        </w:rPr>
        <w:t>=1.7 and k</w:t>
      </w:r>
      <w:r w:rsidR="005E5652" w:rsidRPr="00771039">
        <w:rPr>
          <w:vertAlign w:val="subscript"/>
          <w:lang w:val="en-US"/>
        </w:rPr>
        <w:t>2</w:t>
      </w:r>
      <w:r w:rsidR="005E5652" w:rsidRPr="00771039">
        <w:rPr>
          <w:lang w:val="en-US"/>
        </w:rPr>
        <w:t xml:space="preserve">=1.75), but with a constant shift of the second distribution towards longer inter-event periods. </w:t>
      </w:r>
      <w:r w:rsidR="00FC1AC1" w:rsidRPr="00771039">
        <w:rPr>
          <w:lang w:val="en-US"/>
        </w:rPr>
        <w:t xml:space="preserve">The </w:t>
      </w:r>
      <w:r w:rsidR="006F3881" w:rsidRPr="00771039">
        <w:rPr>
          <w:lang w:val="en-US"/>
        </w:rPr>
        <w:t>COV</w:t>
      </w:r>
      <w:r w:rsidR="00FC1AC1" w:rsidRPr="00771039">
        <w:rPr>
          <w:lang w:val="en-US"/>
        </w:rPr>
        <w:t xml:space="preserve"> is 0.6</w:t>
      </w:r>
      <w:r w:rsidR="006F3881" w:rsidRPr="00771039">
        <w:rPr>
          <w:lang w:val="en-US"/>
        </w:rPr>
        <w:t>8</w:t>
      </w:r>
      <w:r w:rsidR="00FC1AC1" w:rsidRPr="00771039">
        <w:rPr>
          <w:lang w:val="en-US"/>
        </w:rPr>
        <w:t xml:space="preserve">. </w:t>
      </w:r>
      <w:r w:rsidR="00A1359E" w:rsidRPr="00771039">
        <w:rPr>
          <w:lang w:val="en-US"/>
        </w:rPr>
        <w:t>T</w:t>
      </w:r>
      <w:r w:rsidR="005E5652" w:rsidRPr="00771039">
        <w:rPr>
          <w:lang w:val="en-US"/>
        </w:rPr>
        <w:t xml:space="preserve">his case is </w:t>
      </w:r>
      <w:r w:rsidR="00A1359E" w:rsidRPr="00771039">
        <w:rPr>
          <w:lang w:val="en-US"/>
        </w:rPr>
        <w:t xml:space="preserve">specifically </w:t>
      </w:r>
      <w:r w:rsidR="00347B6D" w:rsidRPr="00771039">
        <w:rPr>
          <w:lang w:val="en-US"/>
        </w:rPr>
        <w:t xml:space="preserve">constructed </w:t>
      </w:r>
      <w:r w:rsidR="005E5652" w:rsidRPr="00771039">
        <w:rPr>
          <w:lang w:val="en-US"/>
        </w:rPr>
        <w:t>to mimic the recurrence pattern found in Lake Huelde based on 16 inter-event periods</w:t>
      </w:r>
      <w:r w:rsidR="005524B6">
        <w:rPr>
          <w:lang w:val="en-US"/>
        </w:rPr>
        <w:t xml:space="preserve"> </w:t>
      </w:r>
      <w:r w:rsidR="005524B6" w:rsidRPr="005524B6">
        <w:rPr>
          <w:rFonts w:cs="Times New Roman"/>
          <w:color w:val="4F81BD" w:themeColor="accent1"/>
          <w:szCs w:val="24"/>
          <w:lang w:val="en-US"/>
        </w:rPr>
        <w:t>(Kempf et al., 2017)</w:t>
      </w:r>
      <w:r w:rsidR="005E5652" w:rsidRPr="00C27413">
        <w:rPr>
          <w:lang w:val="en-US"/>
        </w:rPr>
        <w:t>.</w:t>
      </w:r>
    </w:p>
    <w:p w14:paraId="0B60E493" w14:textId="38FD8C51" w:rsidR="005E5652" w:rsidRPr="00771039" w:rsidRDefault="005E7B74" w:rsidP="000054FC">
      <w:pPr>
        <w:pStyle w:val="ListParagraph"/>
        <w:numPr>
          <w:ilvl w:val="0"/>
          <w:numId w:val="5"/>
        </w:numPr>
        <w:rPr>
          <w:lang w:val="en-US"/>
        </w:rPr>
      </w:pPr>
      <w:r w:rsidRPr="00771039">
        <w:rPr>
          <w:lang w:val="en-US"/>
        </w:rPr>
        <w:t>U</w:t>
      </w:r>
      <w:r w:rsidR="005E5652" w:rsidRPr="00771039">
        <w:rPr>
          <w:lang w:val="en-US"/>
        </w:rPr>
        <w:t xml:space="preserve">niform model – this model </w:t>
      </w:r>
      <w:r w:rsidR="00B74997" w:rsidRPr="00771039">
        <w:rPr>
          <w:lang w:val="en-US"/>
        </w:rPr>
        <w:t xml:space="preserve">has an even probability within the </w:t>
      </w:r>
      <w:r w:rsidR="00E40D2C" w:rsidRPr="00771039">
        <w:rPr>
          <w:lang w:val="en-US"/>
        </w:rPr>
        <w:t xml:space="preserve">range </w:t>
      </w:r>
      <w:r w:rsidR="00B74997" w:rsidRPr="00771039">
        <w:rPr>
          <w:lang w:val="en-US"/>
        </w:rPr>
        <w:t>of 200 years. Within its extreme</w:t>
      </w:r>
      <w:r w:rsidR="00347B6D" w:rsidRPr="00771039">
        <w:rPr>
          <w:lang w:val="en-US"/>
        </w:rPr>
        <w:t>s</w:t>
      </w:r>
      <w:r w:rsidR="00B74997" w:rsidRPr="00771039">
        <w:rPr>
          <w:lang w:val="en-US"/>
        </w:rPr>
        <w:t xml:space="preserve"> </w:t>
      </w:r>
      <w:r w:rsidR="00E40D2C" w:rsidRPr="00771039">
        <w:rPr>
          <w:lang w:val="en-US"/>
        </w:rPr>
        <w:t xml:space="preserve">it </w:t>
      </w:r>
      <w:r w:rsidR="00B74997" w:rsidRPr="00771039">
        <w:rPr>
          <w:lang w:val="en-US"/>
        </w:rPr>
        <w:t xml:space="preserve">is </w:t>
      </w:r>
      <w:r w:rsidR="00347B6D" w:rsidRPr="00771039">
        <w:rPr>
          <w:lang w:val="en-US"/>
        </w:rPr>
        <w:t>identical</w:t>
      </w:r>
      <w:r w:rsidR="00B74997" w:rsidRPr="00771039">
        <w:rPr>
          <w:lang w:val="en-US"/>
        </w:rPr>
        <w:t xml:space="preserve"> to a random number generator. </w:t>
      </w:r>
      <w:r w:rsidR="00FC1AC1" w:rsidRPr="00771039">
        <w:rPr>
          <w:lang w:val="en-US"/>
        </w:rPr>
        <w:t xml:space="preserve">The </w:t>
      </w:r>
      <w:r w:rsidR="006F3881" w:rsidRPr="00771039">
        <w:rPr>
          <w:lang w:val="en-US"/>
        </w:rPr>
        <w:t>COV</w:t>
      </w:r>
      <w:r w:rsidR="00FC1AC1" w:rsidRPr="00771039">
        <w:rPr>
          <w:lang w:val="en-US"/>
        </w:rPr>
        <w:t xml:space="preserve"> is 0.5</w:t>
      </w:r>
      <w:r w:rsidR="006F3881" w:rsidRPr="00771039">
        <w:rPr>
          <w:lang w:val="en-US"/>
        </w:rPr>
        <w:t>8</w:t>
      </w:r>
      <w:r w:rsidR="00FC1AC1" w:rsidRPr="00771039">
        <w:rPr>
          <w:lang w:val="en-US"/>
        </w:rPr>
        <w:t xml:space="preserve">. </w:t>
      </w:r>
      <w:r w:rsidR="00B74997" w:rsidRPr="00771039">
        <w:rPr>
          <w:lang w:val="en-US"/>
        </w:rPr>
        <w:t>This model was chosen for a statistical benchmark, not for its real-world potential</w:t>
      </w:r>
      <w:r w:rsidR="00347B6D" w:rsidRPr="00771039">
        <w:rPr>
          <w:lang w:val="en-US"/>
        </w:rPr>
        <w:t xml:space="preserve"> and has to our knowledge no real-world example with</w:t>
      </w:r>
      <w:r w:rsidR="00E40D2C" w:rsidRPr="00771039">
        <w:rPr>
          <w:lang w:val="en-US"/>
        </w:rPr>
        <w:t>in</w:t>
      </w:r>
      <w:r w:rsidR="00347B6D" w:rsidRPr="00771039">
        <w:rPr>
          <w:lang w:val="en-US"/>
        </w:rPr>
        <w:t xml:space="preserve"> the geosciences</w:t>
      </w:r>
      <w:r w:rsidR="00B74997" w:rsidRPr="00771039">
        <w:rPr>
          <w:lang w:val="en-US"/>
        </w:rPr>
        <w:t>.</w:t>
      </w:r>
    </w:p>
    <w:p w14:paraId="03B98D93" w14:textId="3803C4F9" w:rsidR="00B74997" w:rsidRPr="00BD2FEF" w:rsidRDefault="005E7B74" w:rsidP="000054FC">
      <w:pPr>
        <w:pStyle w:val="ListParagraph"/>
        <w:numPr>
          <w:ilvl w:val="0"/>
          <w:numId w:val="5"/>
        </w:numPr>
        <w:rPr>
          <w:lang w:val="en-US"/>
        </w:rPr>
      </w:pPr>
      <w:r w:rsidRPr="00771039">
        <w:rPr>
          <w:lang w:val="en-US"/>
        </w:rPr>
        <w:t>P</w:t>
      </w:r>
      <w:r w:rsidR="00B74997" w:rsidRPr="00771039">
        <w:rPr>
          <w:lang w:val="en-US"/>
        </w:rPr>
        <w:t xml:space="preserve">oissonian model – this model is based on an exponential distribution. It is synonymous with time-independent inter-event periods. This model was included, because </w:t>
      </w:r>
      <w:r w:rsidR="00E40D2C" w:rsidRPr="00771039">
        <w:rPr>
          <w:lang w:val="en-US"/>
        </w:rPr>
        <w:t xml:space="preserve">of </w:t>
      </w:r>
      <w:r w:rsidR="00B74997" w:rsidRPr="00771039">
        <w:rPr>
          <w:lang w:val="en-US"/>
        </w:rPr>
        <w:t>its tremendous real-world use</w:t>
      </w:r>
      <w:r w:rsidR="006F3881" w:rsidRPr="00771039">
        <w:rPr>
          <w:lang w:val="en-US"/>
        </w:rPr>
        <w:t>, with a COV</w:t>
      </w:r>
      <w:r w:rsidR="00FC1AC1" w:rsidRPr="00771039">
        <w:rPr>
          <w:lang w:val="en-US"/>
        </w:rPr>
        <w:t xml:space="preserve"> of 1.00.</w:t>
      </w:r>
      <w:r w:rsidR="00DF7864" w:rsidRPr="00771039">
        <w:rPr>
          <w:lang w:val="en-US"/>
        </w:rPr>
        <w:t xml:space="preserve"> Example: </w:t>
      </w:r>
      <w:r w:rsidR="00A1359E" w:rsidRPr="00771039">
        <w:rPr>
          <w:rFonts w:cs="Times New Roman"/>
          <w:szCs w:val="24"/>
          <w:lang w:val="en-US"/>
        </w:rPr>
        <w:t xml:space="preserve">seismoturbidites </w:t>
      </w:r>
      <w:r w:rsidR="00DF7864" w:rsidRPr="00771039">
        <w:rPr>
          <w:rFonts w:cs="Times New Roman"/>
          <w:szCs w:val="24"/>
          <w:lang w:val="en-US"/>
        </w:rPr>
        <w:t>in Lake Tutira, New Zealand</w:t>
      </w:r>
      <w:r w:rsidR="00730A9F">
        <w:rPr>
          <w:rFonts w:cs="Times New Roman"/>
          <w:szCs w:val="24"/>
          <w:lang w:val="en-US"/>
        </w:rPr>
        <w:t xml:space="preserve"> </w:t>
      </w:r>
      <w:r w:rsidR="00730A9F" w:rsidRPr="00730A9F">
        <w:rPr>
          <w:rFonts w:cs="Times New Roman"/>
          <w:color w:val="4F81BD" w:themeColor="accent1"/>
          <w:szCs w:val="24"/>
          <w:lang w:val="en-US"/>
        </w:rPr>
        <w:t>(Gomez et al., 2015)</w:t>
      </w:r>
      <w:r w:rsidR="006F3881" w:rsidRPr="00730A9F">
        <w:rPr>
          <w:rFonts w:cs="Times New Roman"/>
          <w:color w:val="000000" w:themeColor="text1"/>
          <w:szCs w:val="24"/>
          <w:lang w:val="en-US"/>
        </w:rPr>
        <w:t>, in this case 118 and 24 inter-event periods</w:t>
      </w:r>
      <w:r w:rsidR="00DF7864" w:rsidRPr="00730A9F">
        <w:rPr>
          <w:rFonts w:cs="Times New Roman"/>
          <w:color w:val="000000" w:themeColor="text1"/>
          <w:szCs w:val="24"/>
          <w:lang w:val="en-US"/>
        </w:rPr>
        <w:t>.</w:t>
      </w:r>
    </w:p>
    <w:p w14:paraId="37AD24C4" w14:textId="25A1F546" w:rsidR="00B74997" w:rsidRPr="005524B6" w:rsidRDefault="005E7B74" w:rsidP="000054FC">
      <w:pPr>
        <w:pStyle w:val="ListParagraph"/>
        <w:numPr>
          <w:ilvl w:val="0"/>
          <w:numId w:val="5"/>
        </w:numPr>
        <w:rPr>
          <w:color w:val="000000" w:themeColor="text1"/>
          <w:lang w:val="en-US"/>
        </w:rPr>
      </w:pPr>
      <w:r w:rsidRPr="00771039">
        <w:rPr>
          <w:lang w:val="en-US"/>
        </w:rPr>
        <w:t>S</w:t>
      </w:r>
      <w:r w:rsidR="00B74997" w:rsidRPr="00771039">
        <w:rPr>
          <w:lang w:val="en-US"/>
        </w:rPr>
        <w:t xml:space="preserve">upercycle model – this composite model consists of </w:t>
      </w:r>
      <w:r w:rsidR="00347B6D" w:rsidRPr="00771039">
        <w:rPr>
          <w:lang w:val="en-US"/>
        </w:rPr>
        <w:t xml:space="preserve">two normal distributions, where </w:t>
      </w:r>
      <w:r w:rsidR="00C63804" w:rsidRPr="00771039">
        <w:rPr>
          <w:lang w:val="en-US"/>
        </w:rPr>
        <w:t>sh</w:t>
      </w:r>
      <w:r w:rsidR="003368C6" w:rsidRPr="00771039">
        <w:rPr>
          <w:lang w:val="en-US"/>
        </w:rPr>
        <w:t xml:space="preserve">orter inter-event periods </w:t>
      </w:r>
      <w:r w:rsidR="00E40D2C" w:rsidRPr="00771039">
        <w:rPr>
          <w:lang w:val="en-US"/>
        </w:rPr>
        <w:t xml:space="preserve">(mean = 40, standard deviation =15) </w:t>
      </w:r>
      <w:r w:rsidR="003368C6" w:rsidRPr="00771039">
        <w:rPr>
          <w:lang w:val="en-US"/>
        </w:rPr>
        <w:t>occur four times as often as longer inter-event periods</w:t>
      </w:r>
      <w:r w:rsidR="00E40D2C" w:rsidRPr="00771039">
        <w:rPr>
          <w:lang w:val="en-US"/>
        </w:rPr>
        <w:t xml:space="preserve"> (mean = 340, standard deviation = 50)</w:t>
      </w:r>
      <w:r w:rsidR="003368C6" w:rsidRPr="00771039">
        <w:rPr>
          <w:lang w:val="en-US"/>
        </w:rPr>
        <w:t xml:space="preserve">. </w:t>
      </w:r>
      <w:r w:rsidR="00FC1AC1" w:rsidRPr="00771039">
        <w:rPr>
          <w:lang w:val="en-US"/>
        </w:rPr>
        <w:t xml:space="preserve">The </w:t>
      </w:r>
      <w:r w:rsidR="006F3881" w:rsidRPr="00771039">
        <w:rPr>
          <w:lang w:val="en-US"/>
        </w:rPr>
        <w:t>COV</w:t>
      </w:r>
      <w:r w:rsidR="00FC1AC1" w:rsidRPr="00771039">
        <w:rPr>
          <w:lang w:val="en-US"/>
        </w:rPr>
        <w:t xml:space="preserve"> is 1.225. </w:t>
      </w:r>
      <w:r w:rsidR="003368C6" w:rsidRPr="00771039">
        <w:rPr>
          <w:lang w:val="en-US"/>
        </w:rPr>
        <w:t>Example: subduction zone earthquakes</w:t>
      </w:r>
      <w:r w:rsidR="00C63804" w:rsidRPr="00771039">
        <w:rPr>
          <w:lang w:val="en-US"/>
        </w:rPr>
        <w:t xml:space="preserve"> </w:t>
      </w:r>
      <w:r w:rsidR="003368C6" w:rsidRPr="00771039">
        <w:rPr>
          <w:lang w:val="en-US"/>
        </w:rPr>
        <w:t>on the Sunda Arc</w:t>
      </w:r>
      <w:r w:rsidR="00730A9F">
        <w:rPr>
          <w:lang w:val="en-US"/>
        </w:rPr>
        <w:t xml:space="preserve"> </w:t>
      </w:r>
      <w:r w:rsidR="00730A9F" w:rsidRPr="00730A9F">
        <w:rPr>
          <w:color w:val="4F81BD" w:themeColor="accent1"/>
          <w:lang w:val="en-US"/>
        </w:rPr>
        <w:t>(Sieh et al., 2008; Philibosian et al., 2017)</w:t>
      </w:r>
      <w:r w:rsidR="006F3881" w:rsidRPr="005524B6">
        <w:rPr>
          <w:color w:val="000000" w:themeColor="text1"/>
          <w:lang w:val="en-US"/>
        </w:rPr>
        <w:t>, in this case 13 inter-event periods</w:t>
      </w:r>
      <w:r w:rsidR="003368C6" w:rsidRPr="005524B6">
        <w:rPr>
          <w:color w:val="000000" w:themeColor="text1"/>
          <w:lang w:val="en-US"/>
        </w:rPr>
        <w:t>.</w:t>
      </w:r>
    </w:p>
    <w:p w14:paraId="398EEB97" w14:textId="2187BE4D" w:rsidR="00F4713D" w:rsidRPr="00771039" w:rsidRDefault="00F4713D" w:rsidP="000054FC">
      <w:pPr>
        <w:rPr>
          <w:lang w:val="en-US"/>
        </w:rPr>
      </w:pPr>
      <w:r w:rsidRPr="005524B6">
        <w:rPr>
          <w:color w:val="000000" w:themeColor="text1"/>
          <w:lang w:val="en-US"/>
        </w:rPr>
        <w:t xml:space="preserve">To compare the simulated records </w:t>
      </w:r>
      <w:r w:rsidRPr="00771039">
        <w:rPr>
          <w:lang w:val="en-US"/>
        </w:rPr>
        <w:t xml:space="preserve">with the Lake Huelde record, we applied the Cox and Oakes test for exponentiality on each of the </w:t>
      </w:r>
      <w:r w:rsidR="00817D2E" w:rsidRPr="00771039">
        <w:rPr>
          <w:lang w:val="en-US"/>
        </w:rPr>
        <w:t>simulated records. All but the P</w:t>
      </w:r>
      <w:r w:rsidRPr="00771039">
        <w:rPr>
          <w:lang w:val="en-US"/>
        </w:rPr>
        <w:t>o</w:t>
      </w:r>
      <w:r w:rsidR="00476980" w:rsidRPr="00771039">
        <w:rPr>
          <w:lang w:val="en-US"/>
        </w:rPr>
        <w:t>i</w:t>
      </w:r>
      <w:r w:rsidRPr="00771039">
        <w:rPr>
          <w:lang w:val="en-US"/>
        </w:rPr>
        <w:t xml:space="preserve">ssonian and the supercycle model have low or no counts in the histogram bins </w:t>
      </w:r>
      <w:r w:rsidRPr="00771039">
        <w:rPr>
          <w:lang w:val="en-US"/>
        </w:rPr>
        <w:lastRenderedPageBreak/>
        <w:t xml:space="preserve">around </w:t>
      </w:r>
      <w:r w:rsidRPr="00771039">
        <w:rPr>
          <w:rFonts w:cs="Times New Roman"/>
          <w:szCs w:val="24"/>
          <w:lang w:val="en-US"/>
        </w:rPr>
        <w:t>CO</w:t>
      </w:r>
      <w:r w:rsidRPr="00771039">
        <w:rPr>
          <w:rFonts w:cs="Times New Roman"/>
          <w:szCs w:val="24"/>
          <w:vertAlign w:val="subscript"/>
          <w:lang w:val="en-US"/>
        </w:rPr>
        <w:t>n</w:t>
      </w:r>
      <w:r w:rsidRPr="00771039">
        <w:rPr>
          <w:rFonts w:cs="Times New Roman"/>
          <w:szCs w:val="24"/>
          <w:lang w:val="en-US"/>
        </w:rPr>
        <w:t xml:space="preserve"> </w:t>
      </w:r>
      <w:r w:rsidR="001D50E4" w:rsidRPr="00771039">
        <w:rPr>
          <w:rFonts w:eastAsia="MS Gothic" w:cs="Times New Roman"/>
          <w:color w:val="000000"/>
          <w:szCs w:val="24"/>
          <w:lang w:val="en-US"/>
        </w:rPr>
        <w:t>≈</w:t>
      </w:r>
      <w:r w:rsidRPr="00771039">
        <w:rPr>
          <w:rFonts w:cs="Times New Roman"/>
          <w:szCs w:val="24"/>
          <w:lang w:val="en-US"/>
        </w:rPr>
        <w:t xml:space="preserve"> 0 </w:t>
      </w:r>
      <w:r w:rsidRPr="00771039">
        <w:rPr>
          <w:rFonts w:cs="Times New Roman"/>
          <w:color w:val="C0504D" w:themeColor="accent2"/>
          <w:szCs w:val="24"/>
          <w:lang w:val="en-US"/>
        </w:rPr>
        <w:t>(Fig. 3</w:t>
      </w:r>
      <w:r w:rsidRPr="00771039">
        <w:rPr>
          <w:color w:val="C0504D" w:themeColor="accent2"/>
          <w:lang w:val="en-US"/>
        </w:rPr>
        <w:t>)</w:t>
      </w:r>
      <w:r w:rsidRPr="00771039">
        <w:rPr>
          <w:lang w:val="en-US"/>
        </w:rPr>
        <w:t xml:space="preserve">. The Cox and Oakes test seems to lack the power to </w:t>
      </w:r>
      <w:r w:rsidR="00B84A50" w:rsidRPr="00771039">
        <w:rPr>
          <w:lang w:val="en-US"/>
        </w:rPr>
        <w:t>recognize</w:t>
      </w:r>
      <w:r w:rsidR="00817D2E" w:rsidRPr="00771039">
        <w:rPr>
          <w:lang w:val="en-US"/>
        </w:rPr>
        <w:t xml:space="preserve"> the supercycle model as non-P</w:t>
      </w:r>
      <w:r w:rsidRPr="00771039">
        <w:rPr>
          <w:lang w:val="en-US"/>
        </w:rPr>
        <w:t xml:space="preserve">oissonian, however, </w:t>
      </w:r>
      <w:r w:rsidR="00037F07" w:rsidRPr="00771039">
        <w:rPr>
          <w:lang w:val="en-US"/>
        </w:rPr>
        <w:t>there exist</w:t>
      </w:r>
      <w:r w:rsidR="00E82EED" w:rsidRPr="00771039">
        <w:rPr>
          <w:lang w:val="en-US"/>
        </w:rPr>
        <w:t>s</w:t>
      </w:r>
      <w:r w:rsidR="00037F07" w:rsidRPr="00771039">
        <w:rPr>
          <w:lang w:val="en-US"/>
        </w:rPr>
        <w:t xml:space="preserve"> </w:t>
      </w:r>
      <w:r w:rsidRPr="00771039">
        <w:rPr>
          <w:lang w:val="en-US"/>
        </w:rPr>
        <w:t>a small mode around CO</w:t>
      </w:r>
      <w:r w:rsidRPr="00771039">
        <w:rPr>
          <w:vertAlign w:val="subscript"/>
          <w:lang w:val="en-US"/>
        </w:rPr>
        <w:t>n</w:t>
      </w:r>
      <w:r w:rsidRPr="00771039">
        <w:rPr>
          <w:lang w:val="en-US"/>
        </w:rPr>
        <w:t xml:space="preserve"> =14</w:t>
      </w:r>
      <w:r w:rsidR="00037F07" w:rsidRPr="00771039">
        <w:rPr>
          <w:lang w:val="en-US"/>
        </w:rPr>
        <w:t xml:space="preserve"> which would look peculiar if one were to test</w:t>
      </w:r>
      <w:r w:rsidR="00E82EED" w:rsidRPr="00771039">
        <w:rPr>
          <w:lang w:val="en-US"/>
        </w:rPr>
        <w:t xml:space="preserve"> a supercycle dataset</w:t>
      </w:r>
      <w:r w:rsidR="00037F07" w:rsidRPr="00771039">
        <w:rPr>
          <w:lang w:val="en-US"/>
        </w:rPr>
        <w:t xml:space="preserve"> for exponentiality </w:t>
      </w:r>
      <w:r w:rsidRPr="00771039">
        <w:rPr>
          <w:color w:val="C0504D" w:themeColor="accent2"/>
          <w:lang w:val="en-US"/>
        </w:rPr>
        <w:t>(Fig. 3)</w:t>
      </w:r>
      <w:r w:rsidRPr="00771039">
        <w:rPr>
          <w:lang w:val="en-US"/>
        </w:rPr>
        <w:t xml:space="preserve">. </w:t>
      </w:r>
    </w:p>
    <w:p w14:paraId="2FB5608C" w14:textId="099B5E72" w:rsidR="00A8007D" w:rsidRPr="00044FDF" w:rsidRDefault="00B93FEF" w:rsidP="000054FC">
      <w:pPr>
        <w:rPr>
          <w:color w:val="C0504D" w:themeColor="accent2"/>
          <w:lang w:val="en-US"/>
        </w:rPr>
      </w:pPr>
      <w:r w:rsidRPr="00771039">
        <w:rPr>
          <w:lang w:val="en-US"/>
        </w:rPr>
        <w:t>On the basis o</w:t>
      </w:r>
      <w:r w:rsidR="00A94C68" w:rsidRPr="00771039">
        <w:rPr>
          <w:lang w:val="en-US"/>
        </w:rPr>
        <w:t>f all six models, we simulated 1</w:t>
      </w:r>
      <w:r w:rsidR="00821FC6" w:rsidRPr="00771039">
        <w:rPr>
          <w:lang w:val="en-US"/>
        </w:rPr>
        <w:t>0000 records each for</w:t>
      </w:r>
      <w:r w:rsidRPr="00771039">
        <w:rPr>
          <w:lang w:val="en-US"/>
        </w:rPr>
        <w:t xml:space="preserve"> sample size</w:t>
      </w:r>
      <w:r w:rsidR="00821FC6" w:rsidRPr="00771039">
        <w:rPr>
          <w:lang w:val="en-US"/>
        </w:rPr>
        <w:t>s</w:t>
      </w:r>
      <w:r w:rsidRPr="00771039">
        <w:rPr>
          <w:lang w:val="en-US"/>
        </w:rPr>
        <w:t xml:space="preserve"> of 3, 6, 10, 16, 30 and 100</w:t>
      </w:r>
      <w:r w:rsidR="00EB6242" w:rsidRPr="00771039">
        <w:rPr>
          <w:lang w:val="en-US"/>
        </w:rPr>
        <w:t xml:space="preserve"> inter-event periods</w:t>
      </w:r>
      <w:r w:rsidR="00016F5E" w:rsidRPr="00771039">
        <w:rPr>
          <w:lang w:val="en-US"/>
        </w:rPr>
        <w:t xml:space="preserve"> </w:t>
      </w:r>
      <w:r w:rsidR="00016F5E" w:rsidRPr="00771039">
        <w:rPr>
          <w:color w:val="C00000"/>
          <w:lang w:val="en-US"/>
        </w:rPr>
        <w:t>(Fig. 4a)</w:t>
      </w:r>
      <w:r w:rsidRPr="00771039">
        <w:rPr>
          <w:lang w:val="en-US"/>
        </w:rPr>
        <w:t>.</w:t>
      </w:r>
      <w:r w:rsidR="005B4128" w:rsidRPr="00771039">
        <w:rPr>
          <w:lang w:val="en-US"/>
        </w:rPr>
        <w:t xml:space="preserve"> T</w:t>
      </w:r>
      <w:r w:rsidR="00462BA6" w:rsidRPr="00771039">
        <w:rPr>
          <w:lang w:val="en-US"/>
        </w:rPr>
        <w:t xml:space="preserve">he </w:t>
      </w:r>
      <w:r w:rsidR="00CE728D" w:rsidRPr="00771039">
        <w:rPr>
          <w:lang w:val="en-US"/>
        </w:rPr>
        <w:t>greater the sample size of inter-event periods</w:t>
      </w:r>
      <w:r w:rsidR="005B4128" w:rsidRPr="00771039">
        <w:rPr>
          <w:lang w:val="en-US"/>
        </w:rPr>
        <w:t xml:space="preserve"> the lower the standard deviation </w:t>
      </w:r>
      <w:r w:rsidR="007A6625" w:rsidRPr="00771039">
        <w:rPr>
          <w:lang w:val="en-US"/>
        </w:rPr>
        <w:t>of the mean</w:t>
      </w:r>
      <w:r w:rsidR="00462BA6" w:rsidRPr="00771039">
        <w:rPr>
          <w:lang w:val="en-US"/>
        </w:rPr>
        <w:t xml:space="preserve"> </w:t>
      </w:r>
      <w:r w:rsidR="00CE728D" w:rsidRPr="00771039">
        <w:rPr>
          <w:lang w:val="en-US"/>
        </w:rPr>
        <w:t>inter-event periods</w:t>
      </w:r>
      <w:r w:rsidR="005B4128" w:rsidRPr="00771039">
        <w:rPr>
          <w:lang w:val="en-US"/>
        </w:rPr>
        <w:t xml:space="preserve"> </w:t>
      </w:r>
      <w:r w:rsidR="00FE1A57" w:rsidRPr="00771039">
        <w:rPr>
          <w:color w:val="C0504D" w:themeColor="accent2"/>
          <w:lang w:val="en-US"/>
        </w:rPr>
        <w:t>(Fig. 4b)</w:t>
      </w:r>
      <w:r w:rsidR="00FE1A57" w:rsidRPr="00771039">
        <w:rPr>
          <w:lang w:val="en-US"/>
        </w:rPr>
        <w:t xml:space="preserve"> and the closer the standard deviation of the </w:t>
      </w:r>
      <w:r w:rsidR="00A8007D" w:rsidRPr="00771039">
        <w:rPr>
          <w:lang w:val="en-US"/>
        </w:rPr>
        <w:t>simulated records</w:t>
      </w:r>
      <w:r w:rsidR="00FE1A57" w:rsidRPr="00771039">
        <w:rPr>
          <w:lang w:val="en-US"/>
        </w:rPr>
        <w:t xml:space="preserve"> </w:t>
      </w:r>
      <w:r w:rsidR="007A6625" w:rsidRPr="00771039">
        <w:rPr>
          <w:lang w:val="en-US"/>
        </w:rPr>
        <w:t xml:space="preserve">to </w:t>
      </w:r>
      <w:r w:rsidR="00FE1A57" w:rsidRPr="00771039">
        <w:rPr>
          <w:lang w:val="en-US"/>
        </w:rPr>
        <w:t xml:space="preserve">the standard deviation of the underlying recurrence model </w:t>
      </w:r>
      <w:r w:rsidR="00FE1A57" w:rsidRPr="00771039">
        <w:rPr>
          <w:color w:val="C0504D" w:themeColor="accent2"/>
          <w:lang w:val="en-US"/>
        </w:rPr>
        <w:t>(Fig. 4c)</w:t>
      </w:r>
      <w:r w:rsidR="00FE1A57" w:rsidRPr="00771039">
        <w:rPr>
          <w:lang w:val="en-US"/>
        </w:rPr>
        <w:t xml:space="preserve">. </w:t>
      </w:r>
      <w:r w:rsidR="00110EF0" w:rsidRPr="00771039">
        <w:rPr>
          <w:lang w:val="en-US"/>
        </w:rPr>
        <w:t xml:space="preserve">How well the simulated records estimate </w:t>
      </w:r>
      <w:r w:rsidR="00BA08F3">
        <w:rPr>
          <w:lang w:val="en-US"/>
        </w:rPr>
        <w:t xml:space="preserve">mean, </w:t>
      </w:r>
      <w:r w:rsidR="00110EF0" w:rsidRPr="00771039">
        <w:rPr>
          <w:lang w:val="en-US"/>
        </w:rPr>
        <w:t>median and the 68% and 95% confidence ranges</w:t>
      </w:r>
      <w:r w:rsidR="00110EF0" w:rsidRPr="00771039">
        <w:rPr>
          <w:rFonts w:cs="Times New Roman"/>
          <w:color w:val="000000"/>
          <w:lang w:val="en-US"/>
        </w:rPr>
        <w:t xml:space="preserve"> over sample size is described for each model separately </w:t>
      </w:r>
      <w:r w:rsidR="00771039" w:rsidRPr="00771039">
        <w:rPr>
          <w:rFonts w:cs="Times New Roman"/>
          <w:color w:val="C00000"/>
          <w:lang w:val="en-US"/>
        </w:rPr>
        <w:t>(Fig.</w:t>
      </w:r>
      <w:r w:rsidR="00110EF0" w:rsidRPr="00771039">
        <w:rPr>
          <w:rFonts w:cs="Times New Roman"/>
          <w:color w:val="C00000"/>
          <w:lang w:val="en-US"/>
        </w:rPr>
        <w:t xml:space="preserve"> </w:t>
      </w:r>
      <w:r w:rsidR="00110EF0" w:rsidRPr="00771039">
        <w:rPr>
          <w:rFonts w:cs="Times New Roman"/>
          <w:color w:val="C0504D" w:themeColor="accent2"/>
          <w:lang w:val="en-US"/>
        </w:rPr>
        <w:t>4d-</w:t>
      </w:r>
      <w:r w:rsidR="00771039">
        <w:rPr>
          <w:rFonts w:cs="Times New Roman"/>
          <w:color w:val="C0504D" w:themeColor="accent2"/>
          <w:lang w:val="en-US"/>
        </w:rPr>
        <w:t xml:space="preserve">i; </w:t>
      </w:r>
      <w:r w:rsidR="00110EF0" w:rsidRPr="00771039">
        <w:rPr>
          <w:rFonts w:cs="Times New Roman"/>
          <w:color w:val="C0504D" w:themeColor="accent2"/>
          <w:lang w:val="en-US"/>
        </w:rPr>
        <w:t>Tab. S2</w:t>
      </w:r>
      <w:r w:rsidR="00AC0FF4">
        <w:rPr>
          <w:rFonts w:cs="Times New Roman"/>
          <w:szCs w:val="24"/>
          <w:lang w:val="en-US"/>
        </w:rPr>
        <w:t>,</w:t>
      </w:r>
      <w:r w:rsidR="00AC0FF4" w:rsidRPr="000F17BE">
        <w:rPr>
          <w:rFonts w:cs="Times New Roman"/>
          <w:szCs w:val="24"/>
          <w:lang w:val="en-US"/>
        </w:rPr>
        <w:t xml:space="preserve"> available in the electronic supplement to this article</w:t>
      </w:r>
      <w:r w:rsidR="00110EF0" w:rsidRPr="00771039">
        <w:rPr>
          <w:rFonts w:cs="Times New Roman"/>
          <w:color w:val="C0504D" w:themeColor="accent2"/>
          <w:lang w:val="en-US"/>
        </w:rPr>
        <w:t>)</w:t>
      </w:r>
      <w:r w:rsidR="00110EF0" w:rsidRPr="00771039">
        <w:rPr>
          <w:rFonts w:cs="Times New Roman"/>
          <w:color w:val="000000"/>
          <w:lang w:val="en-US"/>
        </w:rPr>
        <w:t xml:space="preserve">. </w:t>
      </w:r>
      <w:r w:rsidR="00FE1A57" w:rsidRPr="00C27413">
        <w:rPr>
          <w:lang w:val="en-US"/>
        </w:rPr>
        <w:t xml:space="preserve">For both the </w:t>
      </w:r>
      <w:r w:rsidR="00817D2E" w:rsidRPr="00C27413">
        <w:rPr>
          <w:lang w:val="en-US"/>
        </w:rPr>
        <w:t>P</w:t>
      </w:r>
      <w:r w:rsidR="00324D73" w:rsidRPr="00BD2FEF">
        <w:rPr>
          <w:lang w:val="en-US"/>
        </w:rPr>
        <w:t>oissonian model and the supercy</w:t>
      </w:r>
      <w:r w:rsidR="00324D73" w:rsidRPr="00771039">
        <w:rPr>
          <w:lang w:val="en-US"/>
        </w:rPr>
        <w:t xml:space="preserve">cle model the mean </w:t>
      </w:r>
      <w:r w:rsidR="00F44126" w:rsidRPr="00771039">
        <w:rPr>
          <w:lang w:val="en-US"/>
        </w:rPr>
        <w:t xml:space="preserve">recurrence </w:t>
      </w:r>
      <w:r w:rsidR="00324D73" w:rsidRPr="00771039">
        <w:rPr>
          <w:lang w:val="en-US"/>
        </w:rPr>
        <w:t>is exceptionally badly estimated for sample sizes of 3</w:t>
      </w:r>
      <w:r w:rsidR="00F44126" w:rsidRPr="00771039">
        <w:rPr>
          <w:lang w:val="en-US"/>
        </w:rPr>
        <w:t xml:space="preserve"> (</w:t>
      </w:r>
      <w:r w:rsidR="00052C81" w:rsidRPr="00771039">
        <w:rPr>
          <w:lang w:val="en-US"/>
        </w:rPr>
        <w:t>68% confidence range</w:t>
      </w:r>
      <w:r w:rsidR="00F44126" w:rsidRPr="00771039">
        <w:rPr>
          <w:rFonts w:cs="Times New Roman"/>
          <w:lang w:val="en-US"/>
        </w:rPr>
        <w:t xml:space="preserve"> is 58</w:t>
      </w:r>
      <w:r w:rsidR="007A6625" w:rsidRPr="00771039">
        <w:rPr>
          <w:rFonts w:cs="Times New Roman"/>
          <w:lang w:val="en-US"/>
        </w:rPr>
        <w:t xml:space="preserve"> years</w:t>
      </w:r>
      <w:r w:rsidR="00F44126" w:rsidRPr="00771039">
        <w:rPr>
          <w:rFonts w:cs="Times New Roman"/>
          <w:lang w:val="en-US"/>
        </w:rPr>
        <w:t xml:space="preserve"> </w:t>
      </w:r>
      <w:r w:rsidR="007A6625" w:rsidRPr="00771039">
        <w:rPr>
          <w:rFonts w:cs="Times New Roman"/>
          <w:lang w:val="en-US"/>
        </w:rPr>
        <w:t>and 71</w:t>
      </w:r>
      <w:r w:rsidR="00F44126" w:rsidRPr="00771039">
        <w:rPr>
          <w:rFonts w:cs="Times New Roman"/>
          <w:lang w:val="en-US"/>
        </w:rPr>
        <w:t xml:space="preserve"> </w:t>
      </w:r>
      <w:r w:rsidR="007A6625" w:rsidRPr="00771039">
        <w:rPr>
          <w:rFonts w:cs="Times New Roman"/>
          <w:lang w:val="en-US"/>
        </w:rPr>
        <w:t>years</w:t>
      </w:r>
      <w:r w:rsidR="00F44126" w:rsidRPr="00771039">
        <w:rPr>
          <w:rFonts w:cs="Times New Roman"/>
          <w:lang w:val="en-US"/>
        </w:rPr>
        <w:t>, respectively),</w:t>
      </w:r>
      <w:r w:rsidR="00324D73" w:rsidRPr="00771039">
        <w:rPr>
          <w:rFonts w:cs="Times New Roman"/>
          <w:lang w:val="en-US"/>
        </w:rPr>
        <w:t xml:space="preserve"> 6 </w:t>
      </w:r>
      <w:r w:rsidR="00F44126" w:rsidRPr="00771039">
        <w:rPr>
          <w:rFonts w:cs="Times New Roman"/>
          <w:lang w:val="en-US"/>
        </w:rPr>
        <w:t>(</w:t>
      </w:r>
      <w:r w:rsidR="00052C81" w:rsidRPr="00771039">
        <w:rPr>
          <w:lang w:val="en-US"/>
        </w:rPr>
        <w:t>68% confidence range</w:t>
      </w:r>
      <w:r w:rsidR="007A6625" w:rsidRPr="00771039">
        <w:rPr>
          <w:rFonts w:cs="Times New Roman"/>
          <w:color w:val="000000"/>
          <w:lang w:val="en-US"/>
        </w:rPr>
        <w:t xml:space="preserve"> is</w:t>
      </w:r>
      <w:r w:rsidR="00F44126" w:rsidRPr="00771039">
        <w:rPr>
          <w:rFonts w:cs="Times New Roman"/>
          <w:lang w:val="en-US"/>
        </w:rPr>
        <w:t xml:space="preserve"> 41</w:t>
      </w:r>
      <w:r w:rsidR="007A6625" w:rsidRPr="00771039">
        <w:rPr>
          <w:rFonts w:cs="Times New Roman"/>
          <w:lang w:val="en-US"/>
        </w:rPr>
        <w:t xml:space="preserve"> years </w:t>
      </w:r>
      <w:r w:rsidR="00F44126" w:rsidRPr="00771039">
        <w:rPr>
          <w:rFonts w:cs="Times New Roman"/>
          <w:lang w:val="en-US"/>
        </w:rPr>
        <w:t>and 50</w:t>
      </w:r>
      <w:r w:rsidR="007A6625" w:rsidRPr="00771039">
        <w:rPr>
          <w:rFonts w:cs="Times New Roman"/>
          <w:lang w:val="en-US"/>
        </w:rPr>
        <w:t xml:space="preserve"> years</w:t>
      </w:r>
      <w:r w:rsidR="00F44126" w:rsidRPr="00771039">
        <w:rPr>
          <w:rFonts w:cs="Times New Roman"/>
          <w:lang w:val="en-US"/>
        </w:rPr>
        <w:t xml:space="preserve">, respectively) </w:t>
      </w:r>
      <w:r w:rsidR="00324D73" w:rsidRPr="00771039">
        <w:rPr>
          <w:rFonts w:cs="Times New Roman"/>
          <w:lang w:val="en-US"/>
        </w:rPr>
        <w:t>and 10</w:t>
      </w:r>
      <w:r w:rsidR="00F44126" w:rsidRPr="00771039">
        <w:rPr>
          <w:rFonts w:cs="Times New Roman"/>
          <w:lang w:val="en-US"/>
        </w:rPr>
        <w:t xml:space="preserve"> </w:t>
      </w:r>
      <w:r w:rsidR="00016F5E" w:rsidRPr="00771039">
        <w:rPr>
          <w:rFonts w:cs="Times New Roman"/>
          <w:lang w:val="en-US"/>
        </w:rPr>
        <w:t xml:space="preserve">inter-event periods </w:t>
      </w:r>
      <w:r w:rsidR="00F44126" w:rsidRPr="00771039">
        <w:rPr>
          <w:rFonts w:cs="Times New Roman"/>
          <w:lang w:val="en-US"/>
        </w:rPr>
        <w:t>(</w:t>
      </w:r>
      <w:r w:rsidR="00052C81" w:rsidRPr="00771039">
        <w:rPr>
          <w:lang w:val="en-US"/>
        </w:rPr>
        <w:t>68% confidence range</w:t>
      </w:r>
      <w:r w:rsidR="00F44126" w:rsidRPr="00771039">
        <w:rPr>
          <w:lang w:val="en-US"/>
        </w:rPr>
        <w:t xml:space="preserve"> </w:t>
      </w:r>
      <w:r w:rsidR="007A6625" w:rsidRPr="00771039">
        <w:rPr>
          <w:lang w:val="en-US"/>
        </w:rPr>
        <w:t xml:space="preserve">is </w:t>
      </w:r>
      <w:r w:rsidR="00F44126" w:rsidRPr="00771039">
        <w:rPr>
          <w:lang w:val="en-US"/>
        </w:rPr>
        <w:t>32 and 39</w:t>
      </w:r>
      <w:r w:rsidR="00016F5E" w:rsidRPr="00771039">
        <w:rPr>
          <w:lang w:val="en-US"/>
        </w:rPr>
        <w:t xml:space="preserve"> years</w:t>
      </w:r>
      <w:r w:rsidR="00F44126" w:rsidRPr="00771039">
        <w:rPr>
          <w:rFonts w:cs="Times New Roman"/>
          <w:lang w:val="en-US"/>
        </w:rPr>
        <w:t>, respectively</w:t>
      </w:r>
      <w:r w:rsidR="00F44126" w:rsidRPr="00771039">
        <w:rPr>
          <w:lang w:val="en-US"/>
        </w:rPr>
        <w:t>)</w:t>
      </w:r>
      <w:r w:rsidR="001A114C" w:rsidRPr="00771039">
        <w:rPr>
          <w:lang w:val="en-US"/>
        </w:rPr>
        <w:t xml:space="preserve"> </w:t>
      </w:r>
      <w:r w:rsidR="001A114C" w:rsidRPr="00771039">
        <w:rPr>
          <w:color w:val="C0504D" w:themeColor="accent2"/>
          <w:lang w:val="en-US"/>
        </w:rPr>
        <w:t xml:space="preserve">(Tab. </w:t>
      </w:r>
      <w:r w:rsidR="00AA6BDE" w:rsidRPr="00771039">
        <w:rPr>
          <w:color w:val="C0504D" w:themeColor="accent2"/>
          <w:lang w:val="en-US"/>
        </w:rPr>
        <w:t>S</w:t>
      </w:r>
      <w:r w:rsidR="00A272A4" w:rsidRPr="00771039">
        <w:rPr>
          <w:color w:val="C0504D" w:themeColor="accent2"/>
          <w:lang w:val="en-US"/>
        </w:rPr>
        <w:t>2</w:t>
      </w:r>
      <w:r w:rsidR="00AC0FF4">
        <w:rPr>
          <w:rFonts w:cs="Times New Roman"/>
          <w:szCs w:val="24"/>
          <w:lang w:val="en-US"/>
        </w:rPr>
        <w:t>,</w:t>
      </w:r>
      <w:r w:rsidR="00AC0FF4" w:rsidRPr="000F17BE">
        <w:rPr>
          <w:rFonts w:cs="Times New Roman"/>
          <w:szCs w:val="24"/>
          <w:lang w:val="en-US"/>
        </w:rPr>
        <w:t xml:space="preserve"> available in the electronic supplement to this article</w:t>
      </w:r>
      <w:r w:rsidR="00AA632F" w:rsidRPr="00771039">
        <w:rPr>
          <w:color w:val="C0504D" w:themeColor="accent2"/>
          <w:lang w:val="en-US"/>
        </w:rPr>
        <w:t>; Fig. 4h and i</w:t>
      </w:r>
      <w:r w:rsidR="001A114C" w:rsidRPr="00771039">
        <w:rPr>
          <w:color w:val="C0504D" w:themeColor="accent2"/>
          <w:lang w:val="en-US"/>
        </w:rPr>
        <w:t>)</w:t>
      </w:r>
      <w:r w:rsidR="00F44126" w:rsidRPr="00771039">
        <w:rPr>
          <w:lang w:val="en-US"/>
        </w:rPr>
        <w:t xml:space="preserve">. </w:t>
      </w:r>
      <w:r w:rsidR="00A8007D" w:rsidRPr="00771039">
        <w:rPr>
          <w:lang w:val="en-US"/>
        </w:rPr>
        <w:t>The standard deviation</w:t>
      </w:r>
      <w:r w:rsidR="004472A5" w:rsidRPr="00771039">
        <w:rPr>
          <w:lang w:val="en-US"/>
        </w:rPr>
        <w:t>s</w:t>
      </w:r>
      <w:r w:rsidR="00A8007D" w:rsidRPr="00771039">
        <w:rPr>
          <w:lang w:val="en-US"/>
        </w:rPr>
        <w:t xml:space="preserve"> of the </w:t>
      </w:r>
      <w:r w:rsidR="00817D2E" w:rsidRPr="00771039">
        <w:rPr>
          <w:lang w:val="en-US"/>
        </w:rPr>
        <w:t>P</w:t>
      </w:r>
      <w:r w:rsidR="00A8007D" w:rsidRPr="00771039">
        <w:rPr>
          <w:lang w:val="en-US"/>
        </w:rPr>
        <w:t xml:space="preserve">oissonian model </w:t>
      </w:r>
      <w:r w:rsidR="00AA632F" w:rsidRPr="00771039">
        <w:rPr>
          <w:lang w:val="en-US"/>
        </w:rPr>
        <w:t>and the supercycle model become</w:t>
      </w:r>
      <w:r w:rsidR="00A8007D" w:rsidRPr="00771039">
        <w:rPr>
          <w:lang w:val="en-US"/>
        </w:rPr>
        <w:t xml:space="preserve"> </w:t>
      </w:r>
      <w:r w:rsidR="00AA632F" w:rsidRPr="00771039">
        <w:rPr>
          <w:lang w:val="en-US"/>
        </w:rPr>
        <w:t>possible</w:t>
      </w:r>
      <w:r w:rsidR="00A8007D" w:rsidRPr="00771039">
        <w:rPr>
          <w:lang w:val="en-US"/>
        </w:rPr>
        <w:t xml:space="preserve"> to be estimated with 95% certainty only beyond a sample size of 16 </w:t>
      </w:r>
      <w:r w:rsidR="00EB6242" w:rsidRPr="00771039">
        <w:rPr>
          <w:lang w:val="en-US"/>
        </w:rPr>
        <w:t>and 10, respectively</w:t>
      </w:r>
      <w:r w:rsidR="00A8007D" w:rsidRPr="00771039">
        <w:rPr>
          <w:lang w:val="en-US"/>
        </w:rPr>
        <w:t xml:space="preserve"> </w:t>
      </w:r>
      <w:r w:rsidR="00A8007D" w:rsidRPr="00771039">
        <w:rPr>
          <w:color w:val="C0504D" w:themeColor="accent2"/>
          <w:lang w:val="en-US"/>
        </w:rPr>
        <w:t>(Fig. 4c)</w:t>
      </w:r>
      <w:r w:rsidR="00A8007D" w:rsidRPr="00771039">
        <w:rPr>
          <w:lang w:val="en-US"/>
        </w:rPr>
        <w:t>.</w:t>
      </w:r>
      <w:r w:rsidR="004472A5" w:rsidRPr="00771039">
        <w:rPr>
          <w:lang w:val="en-US"/>
        </w:rPr>
        <w:t xml:space="preserve"> This result </w:t>
      </w:r>
      <w:r w:rsidR="00E21B67" w:rsidRPr="00771039">
        <w:rPr>
          <w:lang w:val="en-US"/>
        </w:rPr>
        <w:t xml:space="preserve">in </w:t>
      </w:r>
      <w:r w:rsidR="004472A5" w:rsidRPr="00771039">
        <w:rPr>
          <w:lang w:val="en-US"/>
        </w:rPr>
        <w:t xml:space="preserve">certainty level versus sample size </w:t>
      </w:r>
      <w:r w:rsidR="00AA632F" w:rsidRPr="00771039">
        <w:rPr>
          <w:lang w:val="en-US"/>
        </w:rPr>
        <w:t xml:space="preserve">in the </w:t>
      </w:r>
      <w:r w:rsidR="00817D2E" w:rsidRPr="00771039">
        <w:rPr>
          <w:lang w:val="en-US"/>
        </w:rPr>
        <w:t>P</w:t>
      </w:r>
      <w:r w:rsidR="00AA632F" w:rsidRPr="00771039">
        <w:rPr>
          <w:lang w:val="en-US"/>
        </w:rPr>
        <w:t>oissonian model is comparable with the</w:t>
      </w:r>
      <w:r w:rsidR="004472A5" w:rsidRPr="00771039">
        <w:rPr>
          <w:lang w:val="en-US"/>
        </w:rPr>
        <w:t xml:space="preserve"> necessary sample size of </w:t>
      </w:r>
      <w:r w:rsidR="00180364" w:rsidRPr="00771039">
        <w:rPr>
          <w:lang w:val="en-US"/>
        </w:rPr>
        <w:t>&gt;</w:t>
      </w:r>
      <w:r w:rsidR="004472A5" w:rsidRPr="00771039">
        <w:rPr>
          <w:lang w:val="en-US"/>
        </w:rPr>
        <w:t>20 to</w:t>
      </w:r>
      <w:r w:rsidR="00817D2E" w:rsidRPr="00771039">
        <w:rPr>
          <w:lang w:val="en-US"/>
        </w:rPr>
        <w:t xml:space="preserve"> estimate the variability in a P</w:t>
      </w:r>
      <w:r w:rsidR="004472A5" w:rsidRPr="00771039">
        <w:rPr>
          <w:lang w:val="en-US"/>
        </w:rPr>
        <w:t xml:space="preserve">oissonian process </w:t>
      </w:r>
      <w:r w:rsidR="00E21B67" w:rsidRPr="00771039">
        <w:rPr>
          <w:lang w:val="en-US"/>
        </w:rPr>
        <w:t>with a 95% certainty</w:t>
      </w:r>
      <w:r w:rsidR="00730A9F">
        <w:rPr>
          <w:lang w:val="en-US"/>
        </w:rPr>
        <w:t xml:space="preserve"> </w:t>
      </w:r>
      <w:r w:rsidR="00730A9F" w:rsidRPr="00730A9F">
        <w:rPr>
          <w:color w:val="4F81BD" w:themeColor="accent1"/>
          <w:lang w:val="en-US"/>
        </w:rPr>
        <w:t>(McCaffrey, 2008)</w:t>
      </w:r>
      <w:r w:rsidR="00E21B67" w:rsidRPr="00C27413">
        <w:rPr>
          <w:lang w:val="en-US"/>
        </w:rPr>
        <w:t>.</w:t>
      </w:r>
      <w:r w:rsidR="008153EC" w:rsidRPr="00C27413">
        <w:rPr>
          <w:lang w:val="en-US"/>
        </w:rPr>
        <w:t xml:space="preserve"> </w:t>
      </w:r>
      <w:r w:rsidR="008153EC" w:rsidRPr="00BD2FEF">
        <w:rPr>
          <w:lang w:val="en-US"/>
        </w:rPr>
        <w:t>Across all six models of recurrence patterns</w:t>
      </w:r>
      <w:r w:rsidR="00052C81" w:rsidRPr="00044FDF">
        <w:rPr>
          <w:lang w:val="en-US"/>
        </w:rPr>
        <w:t>,</w:t>
      </w:r>
      <w:r w:rsidR="008153EC" w:rsidRPr="00044FDF">
        <w:rPr>
          <w:lang w:val="en-US"/>
        </w:rPr>
        <w:t xml:space="preserve"> the </w:t>
      </w:r>
      <w:r w:rsidR="00817D2E" w:rsidRPr="00044FDF">
        <w:rPr>
          <w:lang w:val="en-US"/>
        </w:rPr>
        <w:t>P</w:t>
      </w:r>
      <w:r w:rsidR="008153EC" w:rsidRPr="00044FDF">
        <w:rPr>
          <w:lang w:val="en-US"/>
        </w:rPr>
        <w:t xml:space="preserve">oissonian model is the most difficult to estimate, if certainty levels above 90% </w:t>
      </w:r>
      <w:r w:rsidR="00052C81" w:rsidRPr="00044FDF">
        <w:rPr>
          <w:lang w:val="en-US"/>
        </w:rPr>
        <w:t xml:space="preserve">are needed </w:t>
      </w:r>
      <w:r w:rsidR="008153EC" w:rsidRPr="00044FDF">
        <w:rPr>
          <w:lang w:val="en-US"/>
        </w:rPr>
        <w:t>on the variability of inter-event periods.</w:t>
      </w:r>
    </w:p>
    <w:p w14:paraId="0F6CD19E" w14:textId="74B14697" w:rsidR="006E1EE2" w:rsidRPr="00044FDF" w:rsidRDefault="00EA0CCF" w:rsidP="000054FC">
      <w:pPr>
        <w:rPr>
          <w:lang w:val="en-US"/>
        </w:rPr>
      </w:pPr>
      <w:r w:rsidRPr="00C27413">
        <w:rPr>
          <w:lang w:val="en-US"/>
        </w:rPr>
        <w:t xml:space="preserve">Under the assumption that the </w:t>
      </w:r>
      <w:r w:rsidR="006E1EE2" w:rsidRPr="00C27413">
        <w:rPr>
          <w:lang w:val="en-US"/>
        </w:rPr>
        <w:t xml:space="preserve">resulting recurrence pattern of tsunamis inundating Lake Huelde </w:t>
      </w:r>
      <w:r w:rsidR="006E1EE2" w:rsidRPr="00730A9F">
        <w:rPr>
          <w:color w:val="C00000"/>
          <w:lang w:val="en-US"/>
        </w:rPr>
        <w:t>(Fig. 2)</w:t>
      </w:r>
      <w:r w:rsidR="006E1EE2" w:rsidRPr="00BD2FEF">
        <w:rPr>
          <w:lang w:val="en-US"/>
        </w:rPr>
        <w:t xml:space="preserve"> is correct, the Lake Huelde record </w:t>
      </w:r>
      <w:r w:rsidR="008153EC" w:rsidRPr="00BD2FEF">
        <w:rPr>
          <w:lang w:val="en-US"/>
        </w:rPr>
        <w:t>sh</w:t>
      </w:r>
      <w:r w:rsidR="006E1EE2" w:rsidRPr="00BD2FEF">
        <w:rPr>
          <w:lang w:val="en-US"/>
        </w:rPr>
        <w:t>ould be in</w:t>
      </w:r>
      <w:r w:rsidR="006E1EE2" w:rsidRPr="00771039">
        <w:rPr>
          <w:lang w:val="en-US"/>
        </w:rPr>
        <w:t xml:space="preserve">terpreted </w:t>
      </w:r>
      <w:r w:rsidR="0095003F" w:rsidRPr="00771039">
        <w:rPr>
          <w:lang w:val="en-US"/>
        </w:rPr>
        <w:t xml:space="preserve">to be </w:t>
      </w:r>
      <w:r w:rsidR="006E1EE2" w:rsidRPr="00044FDF">
        <w:rPr>
          <w:lang w:val="en-US"/>
        </w:rPr>
        <w:t>with</w:t>
      </w:r>
      <w:r w:rsidR="0095003F" w:rsidRPr="00044FDF">
        <w:rPr>
          <w:lang w:val="en-US"/>
        </w:rPr>
        <w:t>in</w:t>
      </w:r>
      <w:r w:rsidR="006E1EE2" w:rsidRPr="00044FDF">
        <w:rPr>
          <w:lang w:val="en-US"/>
        </w:rPr>
        <w:t xml:space="preserve"> 17</w:t>
      </w:r>
      <w:r w:rsidR="00A5795B" w:rsidRPr="00044FDF">
        <w:rPr>
          <w:lang w:val="en-US"/>
        </w:rPr>
        <w:t xml:space="preserve">% </w:t>
      </w:r>
      <w:r w:rsidR="0095003F" w:rsidRPr="00044FDF">
        <w:rPr>
          <w:lang w:val="en-US"/>
        </w:rPr>
        <w:t>(55</w:t>
      </w:r>
      <w:r w:rsidR="00243E08" w:rsidRPr="00044FDF">
        <w:rPr>
          <w:lang w:val="en-US"/>
        </w:rPr>
        <w:t xml:space="preserve"> years</w:t>
      </w:r>
      <w:r w:rsidR="0095003F" w:rsidRPr="00044FDF">
        <w:rPr>
          <w:lang w:val="en-US"/>
        </w:rPr>
        <w:t xml:space="preserve"> in the case of Lake Huelde</w:t>
      </w:r>
      <w:r w:rsidR="00243E08" w:rsidRPr="00044FDF">
        <w:rPr>
          <w:lang w:val="en-US"/>
        </w:rPr>
        <w:t xml:space="preserve">) </w:t>
      </w:r>
      <w:r w:rsidR="00A5795B" w:rsidRPr="00044FDF">
        <w:rPr>
          <w:lang w:val="en-US"/>
        </w:rPr>
        <w:t>and 33%</w:t>
      </w:r>
      <w:r w:rsidR="0095003F" w:rsidRPr="00044FDF">
        <w:rPr>
          <w:lang w:val="en-US"/>
        </w:rPr>
        <w:t xml:space="preserve"> (107</w:t>
      </w:r>
      <w:r w:rsidR="00243E08" w:rsidRPr="00044FDF">
        <w:rPr>
          <w:lang w:val="en-US"/>
        </w:rPr>
        <w:t xml:space="preserve"> years)</w:t>
      </w:r>
      <w:r w:rsidR="00A5795B" w:rsidRPr="00044FDF">
        <w:rPr>
          <w:lang w:val="en-US"/>
        </w:rPr>
        <w:t xml:space="preserve"> of the mean</w:t>
      </w:r>
      <w:r w:rsidR="008153EC" w:rsidRPr="00044FDF">
        <w:rPr>
          <w:lang w:val="en-US"/>
        </w:rPr>
        <w:t xml:space="preserve"> </w:t>
      </w:r>
      <w:r w:rsidR="006E1EE2" w:rsidRPr="00044FDF">
        <w:rPr>
          <w:lang w:val="en-US"/>
        </w:rPr>
        <w:t>with a 68%</w:t>
      </w:r>
      <w:r w:rsidR="00243E08" w:rsidRPr="00044FDF">
        <w:rPr>
          <w:lang w:val="en-US"/>
        </w:rPr>
        <w:t xml:space="preserve"> </w:t>
      </w:r>
      <w:r w:rsidR="00A5795B" w:rsidRPr="00044FDF">
        <w:rPr>
          <w:lang w:val="en-US"/>
        </w:rPr>
        <w:t>and 95%</w:t>
      </w:r>
      <w:r w:rsidR="006E1EE2" w:rsidRPr="00044FDF">
        <w:rPr>
          <w:lang w:val="en-US"/>
        </w:rPr>
        <w:t xml:space="preserve"> </w:t>
      </w:r>
      <w:r w:rsidR="00052C81" w:rsidRPr="00044FDF">
        <w:rPr>
          <w:lang w:val="en-US"/>
        </w:rPr>
        <w:t>confidence</w:t>
      </w:r>
      <w:r w:rsidR="00EA34B7" w:rsidRPr="00044FDF">
        <w:rPr>
          <w:lang w:val="en-US"/>
        </w:rPr>
        <w:t xml:space="preserve"> range</w:t>
      </w:r>
      <w:r w:rsidR="00A5795B" w:rsidRPr="00044FDF">
        <w:rPr>
          <w:lang w:val="en-US"/>
        </w:rPr>
        <w:t>, respectively</w:t>
      </w:r>
      <w:r w:rsidR="008153EC" w:rsidRPr="00044FDF">
        <w:rPr>
          <w:lang w:val="en-US"/>
        </w:rPr>
        <w:t xml:space="preserve"> </w:t>
      </w:r>
      <w:r w:rsidR="006E1EE2" w:rsidRPr="00730A9F">
        <w:rPr>
          <w:color w:val="C00000"/>
          <w:lang w:val="en-US"/>
        </w:rPr>
        <w:t>(Fig. 4f)</w:t>
      </w:r>
      <w:r w:rsidR="006E1EE2" w:rsidRPr="00044FDF">
        <w:rPr>
          <w:lang w:val="en-US"/>
        </w:rPr>
        <w:t xml:space="preserve">. </w:t>
      </w:r>
    </w:p>
    <w:p w14:paraId="3D0E2D61" w14:textId="3CE2F143" w:rsidR="00CB6CA7" w:rsidRPr="00BD2FEF" w:rsidRDefault="006E1EE2" w:rsidP="000054FC">
      <w:pPr>
        <w:rPr>
          <w:rFonts w:cs="Times New Roman"/>
          <w:color w:val="000000"/>
          <w:lang w:val="en-US"/>
        </w:rPr>
      </w:pPr>
      <w:r w:rsidRPr="00044FDF">
        <w:rPr>
          <w:lang w:val="en-US"/>
        </w:rPr>
        <w:t>Approaching the statistical model results from a planning point of view</w:t>
      </w:r>
      <w:r w:rsidR="007A6210" w:rsidRPr="00044FDF">
        <w:rPr>
          <w:lang w:val="en-US"/>
        </w:rPr>
        <w:t xml:space="preserve"> of a geoscientist</w:t>
      </w:r>
      <w:r w:rsidRPr="00044FDF">
        <w:rPr>
          <w:lang w:val="en-US"/>
        </w:rPr>
        <w:t xml:space="preserve">, one could say that if </w:t>
      </w:r>
      <w:r w:rsidR="00276E3D" w:rsidRPr="00044FDF">
        <w:rPr>
          <w:lang w:val="en-US"/>
        </w:rPr>
        <w:t xml:space="preserve">the investigated </w:t>
      </w:r>
      <w:r w:rsidRPr="00044FDF">
        <w:rPr>
          <w:lang w:val="en-US"/>
        </w:rPr>
        <w:t>process is e</w:t>
      </w:r>
      <w:r w:rsidR="00276E3D" w:rsidRPr="00044FDF">
        <w:rPr>
          <w:lang w:val="en-US"/>
        </w:rPr>
        <w:t xml:space="preserve">xpected to be similar to the </w:t>
      </w:r>
      <w:r w:rsidR="00FD678B" w:rsidRPr="00044FDF">
        <w:rPr>
          <w:lang w:val="en-US"/>
        </w:rPr>
        <w:t xml:space="preserve">Huelde </w:t>
      </w:r>
      <w:r w:rsidR="00276E3D" w:rsidRPr="00044FDF">
        <w:rPr>
          <w:lang w:val="en-US"/>
        </w:rPr>
        <w:t xml:space="preserve">model, then the result should be within the </w:t>
      </w:r>
      <w:r w:rsidR="007A6210" w:rsidRPr="00044FDF">
        <w:rPr>
          <w:lang w:val="en-US"/>
        </w:rPr>
        <w:t xml:space="preserve">68% confidence </w:t>
      </w:r>
      <w:r w:rsidR="00276E3D" w:rsidRPr="00044FDF">
        <w:rPr>
          <w:rFonts w:cs="Times New Roman"/>
          <w:color w:val="000000"/>
          <w:lang w:val="en-US"/>
        </w:rPr>
        <w:t>r</w:t>
      </w:r>
      <w:r w:rsidR="00F26F4A" w:rsidRPr="00044FDF">
        <w:rPr>
          <w:rFonts w:cs="Times New Roman"/>
          <w:color w:val="000000"/>
          <w:lang w:val="en-US"/>
        </w:rPr>
        <w:t xml:space="preserve">ange of the real process with </w:t>
      </w:r>
      <w:r w:rsidR="00FD678B" w:rsidRPr="00044FDF">
        <w:rPr>
          <w:rFonts w:cs="Times New Roman"/>
          <w:color w:val="000000"/>
          <w:lang w:val="en-US"/>
        </w:rPr>
        <w:t>~</w:t>
      </w:r>
      <w:r w:rsidR="00F26F4A" w:rsidRPr="00044FDF">
        <w:rPr>
          <w:rFonts w:cs="Times New Roman"/>
          <w:color w:val="000000"/>
          <w:lang w:val="en-US"/>
        </w:rPr>
        <w:t>88</w:t>
      </w:r>
      <w:r w:rsidR="00276E3D" w:rsidRPr="00044FDF">
        <w:rPr>
          <w:rFonts w:cs="Times New Roman"/>
          <w:color w:val="000000"/>
          <w:lang w:val="en-US"/>
        </w:rPr>
        <w:t>% certainty with a sample size of</w:t>
      </w:r>
      <w:r w:rsidR="00A5795B" w:rsidRPr="00044FDF">
        <w:rPr>
          <w:rFonts w:cs="Times New Roman"/>
          <w:color w:val="000000"/>
          <w:lang w:val="en-US"/>
        </w:rPr>
        <w:t xml:space="preserve"> </w:t>
      </w:r>
      <w:r w:rsidR="00FD678B" w:rsidRPr="00044FDF">
        <w:rPr>
          <w:rFonts w:cs="Times New Roman"/>
          <w:color w:val="000000"/>
          <w:lang w:val="en-US"/>
        </w:rPr>
        <w:t>16</w:t>
      </w:r>
      <w:r w:rsidR="00E5641B" w:rsidRPr="00044FDF">
        <w:rPr>
          <w:lang w:val="en-US"/>
        </w:rPr>
        <w:t xml:space="preserve">. If the investigated process is expected to be similar to the Gaussian model, then the result should be within the </w:t>
      </w:r>
      <w:r w:rsidR="007A6210" w:rsidRPr="00044FDF">
        <w:rPr>
          <w:lang w:val="en-US"/>
        </w:rPr>
        <w:t xml:space="preserve">68% confidence </w:t>
      </w:r>
      <w:r w:rsidR="00E5641B" w:rsidRPr="00044FDF">
        <w:rPr>
          <w:rFonts w:cs="Times New Roman"/>
          <w:color w:val="000000"/>
          <w:lang w:val="en-US"/>
        </w:rPr>
        <w:t>range of the real process with ~88% certainty with a sample size of only 3.</w:t>
      </w:r>
      <w:r w:rsidR="001C03BF" w:rsidRPr="00044FDF">
        <w:rPr>
          <w:lang w:val="en-US"/>
        </w:rPr>
        <w:t xml:space="preserve"> </w:t>
      </w:r>
      <w:r w:rsidR="007A6210" w:rsidRPr="00044FDF">
        <w:rPr>
          <w:lang w:val="en-US"/>
        </w:rPr>
        <w:t>From a civil authorities point of view, t</w:t>
      </w:r>
      <w:r w:rsidR="00276E3D" w:rsidRPr="00044FDF">
        <w:rPr>
          <w:lang w:val="en-US"/>
        </w:rPr>
        <w:t xml:space="preserve">o achieve an 80% certainty to be within the </w:t>
      </w:r>
      <w:r w:rsidR="007A6210" w:rsidRPr="00044FDF">
        <w:rPr>
          <w:lang w:val="en-US"/>
        </w:rPr>
        <w:t xml:space="preserve">68% confidence </w:t>
      </w:r>
      <w:r w:rsidR="00276E3D" w:rsidRPr="00044FDF">
        <w:rPr>
          <w:rFonts w:cs="Times New Roman"/>
          <w:color w:val="000000"/>
          <w:lang w:val="en-US"/>
        </w:rPr>
        <w:t xml:space="preserve">range </w:t>
      </w:r>
      <w:r w:rsidR="00714688" w:rsidRPr="00044FDF">
        <w:rPr>
          <w:rFonts w:cs="Times New Roman"/>
          <w:color w:val="000000"/>
          <w:lang w:val="en-US"/>
        </w:rPr>
        <w:t>of the model</w:t>
      </w:r>
      <w:r w:rsidR="00B23F54" w:rsidRPr="00044FDF">
        <w:rPr>
          <w:rFonts w:cs="Times New Roman"/>
          <w:color w:val="000000"/>
          <w:lang w:val="en-US"/>
        </w:rPr>
        <w:t>,</w:t>
      </w:r>
      <w:r w:rsidR="00714688" w:rsidRPr="00044FDF">
        <w:rPr>
          <w:rFonts w:cs="Times New Roman"/>
          <w:color w:val="000000"/>
          <w:lang w:val="en-US"/>
        </w:rPr>
        <w:t xml:space="preserve"> </w:t>
      </w:r>
      <w:r w:rsidR="00276E3D" w:rsidRPr="00044FDF">
        <w:rPr>
          <w:rFonts w:cs="Times New Roman"/>
          <w:color w:val="000000"/>
          <w:lang w:val="en-US"/>
        </w:rPr>
        <w:t>one would need</w:t>
      </w:r>
      <w:r w:rsidR="00CB6CA7" w:rsidRPr="00044FDF">
        <w:rPr>
          <w:rFonts w:cs="Times New Roman"/>
          <w:color w:val="000000"/>
          <w:lang w:val="en-US"/>
        </w:rPr>
        <w:t xml:space="preserve"> </w:t>
      </w:r>
      <w:r w:rsidR="00E5641B" w:rsidRPr="00044FDF">
        <w:rPr>
          <w:rFonts w:cs="Times New Roman"/>
          <w:color w:val="000000"/>
          <w:lang w:val="en-US"/>
        </w:rPr>
        <w:t xml:space="preserve">n </w:t>
      </w:r>
      <w:r w:rsidR="00110EF0" w:rsidRPr="00044FDF">
        <w:rPr>
          <w:rFonts w:cs="Times New Roman"/>
          <w:color w:val="000000"/>
          <w:lang w:val="en-US"/>
        </w:rPr>
        <w:sym w:font="Symbol" w:char="F0B3"/>
      </w:r>
      <w:r w:rsidR="00E5641B" w:rsidRPr="00C27413">
        <w:rPr>
          <w:rFonts w:cs="Times New Roman"/>
          <w:color w:val="000000"/>
          <w:lang w:val="en-US"/>
        </w:rPr>
        <w:t xml:space="preserve"> 3 for the Gaussian model, </w:t>
      </w:r>
      <w:r w:rsidR="001C03BF" w:rsidRPr="00C27413">
        <w:rPr>
          <w:rFonts w:cs="Times New Roman"/>
          <w:color w:val="000000"/>
          <w:lang w:val="en-US"/>
        </w:rPr>
        <w:t>n &gt; 3</w:t>
      </w:r>
      <w:r w:rsidR="00CB6CA7" w:rsidRPr="00BD2FEF">
        <w:rPr>
          <w:rFonts w:cs="Times New Roman"/>
          <w:color w:val="000000"/>
          <w:lang w:val="en-US"/>
        </w:rPr>
        <w:t xml:space="preserve"> for the exponential power model, </w:t>
      </w:r>
      <w:r w:rsidR="001C03BF" w:rsidRPr="00BD2FEF">
        <w:rPr>
          <w:rFonts w:cs="Times New Roman"/>
          <w:color w:val="000000"/>
          <w:lang w:val="en-US"/>
        </w:rPr>
        <w:t>n &gt; 6 for the uniform model, n &gt; 10</w:t>
      </w:r>
      <w:r w:rsidR="00CB6CA7" w:rsidRPr="00BD2FEF">
        <w:rPr>
          <w:rFonts w:cs="Times New Roman"/>
          <w:color w:val="000000"/>
          <w:lang w:val="en-US"/>
        </w:rPr>
        <w:t xml:space="preserve"> for the </w:t>
      </w:r>
      <w:r w:rsidR="00317E0C" w:rsidRPr="00BD2FEF">
        <w:rPr>
          <w:rFonts w:cs="Times New Roman"/>
          <w:color w:val="000000"/>
          <w:lang w:val="en-US"/>
        </w:rPr>
        <w:t>Huelde</w:t>
      </w:r>
      <w:r w:rsidR="00CB6CA7" w:rsidRPr="00BD2FEF">
        <w:rPr>
          <w:rFonts w:cs="Times New Roman"/>
          <w:color w:val="000000"/>
          <w:lang w:val="en-US"/>
        </w:rPr>
        <w:t xml:space="preserve"> model, </w:t>
      </w:r>
      <w:r w:rsidR="001C03BF" w:rsidRPr="00BD2FEF">
        <w:rPr>
          <w:rFonts w:cs="Times New Roman"/>
          <w:color w:val="000000"/>
          <w:lang w:val="en-US"/>
        </w:rPr>
        <w:t>n &gt; 16</w:t>
      </w:r>
      <w:r w:rsidR="00817D2E" w:rsidRPr="00BD2FEF">
        <w:rPr>
          <w:rFonts w:cs="Times New Roman"/>
          <w:color w:val="000000"/>
          <w:lang w:val="en-US"/>
        </w:rPr>
        <w:t xml:space="preserve"> for the P</w:t>
      </w:r>
      <w:r w:rsidR="00CB6CA7" w:rsidRPr="00BD2FEF">
        <w:rPr>
          <w:rFonts w:cs="Times New Roman"/>
          <w:color w:val="000000"/>
          <w:lang w:val="en-US"/>
        </w:rPr>
        <w:t xml:space="preserve">oissonian model and </w:t>
      </w:r>
      <w:r w:rsidR="001C03BF" w:rsidRPr="00BD2FEF">
        <w:rPr>
          <w:rFonts w:cs="Times New Roman"/>
          <w:color w:val="000000"/>
          <w:lang w:val="en-US"/>
        </w:rPr>
        <w:t>n &gt; 30</w:t>
      </w:r>
      <w:r w:rsidR="00CB6CA7" w:rsidRPr="00BD2FEF">
        <w:rPr>
          <w:rFonts w:cs="Times New Roman"/>
          <w:color w:val="000000"/>
          <w:lang w:val="en-US"/>
        </w:rPr>
        <w:t xml:space="preserve"> for the supercycle model</w:t>
      </w:r>
      <w:r w:rsidR="00566E07" w:rsidRPr="00BD2FEF">
        <w:rPr>
          <w:rFonts w:cs="Times New Roman"/>
          <w:color w:val="000000"/>
          <w:lang w:val="en-US"/>
        </w:rPr>
        <w:t xml:space="preserve"> </w:t>
      </w:r>
      <w:r w:rsidR="00566E07" w:rsidRPr="00730A9F">
        <w:rPr>
          <w:rFonts w:cs="Times New Roman"/>
          <w:color w:val="C00000"/>
          <w:lang w:val="en-US"/>
        </w:rPr>
        <w:t xml:space="preserve">(Tab. </w:t>
      </w:r>
      <w:r w:rsidR="00AA6BDE" w:rsidRPr="00730A9F">
        <w:rPr>
          <w:rFonts w:cs="Times New Roman"/>
          <w:color w:val="C00000"/>
          <w:lang w:val="en-US"/>
        </w:rPr>
        <w:t>S</w:t>
      </w:r>
      <w:r w:rsidR="00A272A4" w:rsidRPr="00730A9F">
        <w:rPr>
          <w:rFonts w:cs="Times New Roman"/>
          <w:color w:val="C00000"/>
          <w:lang w:val="en-US"/>
        </w:rPr>
        <w:t>2</w:t>
      </w:r>
      <w:r w:rsidR="00AC0FF4">
        <w:rPr>
          <w:rFonts w:cs="Times New Roman"/>
          <w:szCs w:val="24"/>
          <w:lang w:val="en-US"/>
        </w:rPr>
        <w:t>,</w:t>
      </w:r>
      <w:r w:rsidR="00AC0FF4" w:rsidRPr="000F17BE">
        <w:rPr>
          <w:rFonts w:cs="Times New Roman"/>
          <w:szCs w:val="24"/>
          <w:lang w:val="en-US"/>
        </w:rPr>
        <w:t xml:space="preserve"> available in the electronic supplement to this article</w:t>
      </w:r>
      <w:r w:rsidR="00566E07" w:rsidRPr="00730A9F">
        <w:rPr>
          <w:rFonts w:cs="Times New Roman"/>
          <w:color w:val="C00000"/>
          <w:lang w:val="en-US"/>
        </w:rPr>
        <w:t>)</w:t>
      </w:r>
      <w:r w:rsidR="00CB6CA7" w:rsidRPr="00BD2FEF">
        <w:rPr>
          <w:rFonts w:cs="Times New Roman"/>
          <w:color w:val="000000"/>
          <w:lang w:val="en-US"/>
        </w:rPr>
        <w:t xml:space="preserve">. </w:t>
      </w:r>
    </w:p>
    <w:p w14:paraId="4D47A1CE" w14:textId="23B23392" w:rsidR="00FB1ABC" w:rsidRPr="00771039" w:rsidRDefault="00FB1ABC" w:rsidP="000054FC">
      <w:pPr>
        <w:pStyle w:val="Heading1"/>
        <w:rPr>
          <w:lang w:val="en-US"/>
        </w:rPr>
      </w:pPr>
      <w:r w:rsidRPr="00771039">
        <w:rPr>
          <w:lang w:val="en-US"/>
        </w:rPr>
        <w:t>Recurrence pattern of tsunamis in south central Chile</w:t>
      </w:r>
    </w:p>
    <w:p w14:paraId="2BE00922" w14:textId="427305F2" w:rsidR="007832D1" w:rsidRPr="00C27413" w:rsidRDefault="008153EC" w:rsidP="000054FC">
      <w:pPr>
        <w:rPr>
          <w:rFonts w:eastAsia="MS Gothic" w:cs="Times New Roman"/>
          <w:color w:val="000000"/>
          <w:lang w:val="en-US"/>
        </w:rPr>
      </w:pPr>
      <w:r w:rsidRPr="00C27413">
        <w:rPr>
          <w:rFonts w:eastAsia="MS Gothic" w:cs="Times New Roman"/>
          <w:color w:val="000000"/>
          <w:lang w:val="en-US"/>
        </w:rPr>
        <w:t>T</w:t>
      </w:r>
      <w:r w:rsidR="006E649D" w:rsidRPr="00C27413">
        <w:rPr>
          <w:rFonts w:eastAsia="MS Gothic" w:cs="Times New Roman"/>
          <w:color w:val="000000"/>
          <w:lang w:val="en-US"/>
        </w:rPr>
        <w:t xml:space="preserve">he </w:t>
      </w:r>
      <w:r w:rsidR="005E7B74" w:rsidRPr="00BD2FEF">
        <w:rPr>
          <w:rFonts w:eastAsia="MS Gothic" w:cs="Times New Roman"/>
          <w:color w:val="000000"/>
          <w:lang w:val="en-US"/>
        </w:rPr>
        <w:t>first mode of the</w:t>
      </w:r>
      <w:r w:rsidR="006E649D" w:rsidRPr="00BD2FEF">
        <w:rPr>
          <w:rFonts w:eastAsia="MS Gothic" w:cs="Times New Roman"/>
          <w:color w:val="000000"/>
          <w:lang w:val="en-US"/>
        </w:rPr>
        <w:t xml:space="preserve"> bimodal re</w:t>
      </w:r>
      <w:r w:rsidR="00CC3E84" w:rsidRPr="00BD2FEF">
        <w:rPr>
          <w:rFonts w:eastAsia="MS Gothic" w:cs="Times New Roman"/>
          <w:color w:val="000000"/>
          <w:lang w:val="en-US"/>
        </w:rPr>
        <w:t xml:space="preserve">currence pattern at 115 years </w:t>
      </w:r>
      <w:r w:rsidR="00840276" w:rsidRPr="00044FDF">
        <w:rPr>
          <w:rFonts w:eastAsia="MS Gothic" w:cs="Times New Roman"/>
          <w:color w:val="C00000"/>
          <w:lang w:val="en-US"/>
        </w:rPr>
        <w:t>(Fig. 2)</w:t>
      </w:r>
      <w:r w:rsidR="00840276" w:rsidRPr="00BD2FEF">
        <w:rPr>
          <w:rFonts w:eastAsia="MS Gothic" w:cs="Times New Roman"/>
          <w:color w:val="000000"/>
          <w:lang w:val="en-US"/>
        </w:rPr>
        <w:t xml:space="preserve"> </w:t>
      </w:r>
      <w:r w:rsidR="005E7B74" w:rsidRPr="00BD2FEF">
        <w:rPr>
          <w:rFonts w:eastAsia="MS Gothic" w:cs="Times New Roman"/>
          <w:color w:val="000000"/>
          <w:lang w:val="en-US"/>
        </w:rPr>
        <w:t xml:space="preserve">is comparable </w:t>
      </w:r>
      <w:r w:rsidR="006E649D" w:rsidRPr="00BD2FEF">
        <w:rPr>
          <w:rFonts w:eastAsia="MS Gothic" w:cs="Times New Roman"/>
          <w:color w:val="000000"/>
          <w:lang w:val="en-US"/>
        </w:rPr>
        <w:t xml:space="preserve">to the historical 128 ± </w:t>
      </w:r>
      <w:r w:rsidR="006B0F26" w:rsidRPr="00BD2FEF">
        <w:rPr>
          <w:rFonts w:eastAsia="MS Gothic" w:cs="Times New Roman"/>
          <w:color w:val="000000"/>
          <w:lang w:val="en-US"/>
        </w:rPr>
        <w:t>31</w:t>
      </w:r>
      <w:r w:rsidR="006E649D" w:rsidRPr="00BD2FEF">
        <w:rPr>
          <w:rFonts w:eastAsia="MS Gothic" w:cs="Times New Roman"/>
          <w:color w:val="000000"/>
          <w:lang w:val="en-US"/>
        </w:rPr>
        <w:t xml:space="preserve"> years mean recurrence time of megathrust earthquakes </w:t>
      </w:r>
      <w:r w:rsidR="005E7B74" w:rsidRPr="00BD2FEF">
        <w:rPr>
          <w:rFonts w:eastAsia="MS Gothic" w:cs="Times New Roman"/>
          <w:color w:val="000000"/>
          <w:lang w:val="en-US"/>
        </w:rPr>
        <w:t>in</w:t>
      </w:r>
      <w:r w:rsidR="006E649D" w:rsidRPr="00BD2FEF">
        <w:rPr>
          <w:rFonts w:eastAsia="MS Gothic" w:cs="Times New Roman"/>
          <w:color w:val="000000"/>
          <w:lang w:val="en-US"/>
        </w:rPr>
        <w:t xml:space="preserve"> the same </w:t>
      </w:r>
      <w:r w:rsidR="005E7B74" w:rsidRPr="00BD2FEF">
        <w:rPr>
          <w:rFonts w:eastAsia="MS Gothic" w:cs="Times New Roman"/>
          <w:color w:val="000000"/>
          <w:lang w:val="en-US"/>
        </w:rPr>
        <w:t>region</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(Lomnitz, 1970, 2004; Nishenko, 1985)</w:t>
      </w:r>
      <w:r w:rsidR="00CC3E84" w:rsidRPr="00C27413">
        <w:rPr>
          <w:rFonts w:eastAsia="MS Gothic" w:cs="Times New Roman"/>
          <w:color w:val="000000"/>
          <w:lang w:val="en-US"/>
        </w:rPr>
        <w:t xml:space="preserve">, while </w:t>
      </w:r>
      <w:r w:rsidR="00CE1BBF" w:rsidRPr="00C27413">
        <w:rPr>
          <w:rFonts w:eastAsia="MS Gothic" w:cs="Times New Roman"/>
          <w:color w:val="000000"/>
          <w:lang w:val="en-US"/>
        </w:rPr>
        <w:t xml:space="preserve">the </w:t>
      </w:r>
      <w:r w:rsidR="0065780A" w:rsidRPr="00BD2FEF">
        <w:rPr>
          <w:rFonts w:eastAsia="MS Gothic" w:cs="Times New Roman"/>
          <w:color w:val="000000"/>
          <w:lang w:val="en-US"/>
        </w:rPr>
        <w:t xml:space="preserve">second mode at </w:t>
      </w:r>
      <w:r w:rsidR="00CE1BBF" w:rsidRPr="00BD2FEF">
        <w:rPr>
          <w:rFonts w:eastAsia="MS Gothic" w:cs="Times New Roman"/>
          <w:color w:val="000000"/>
          <w:lang w:val="en-US"/>
        </w:rPr>
        <w:lastRenderedPageBreak/>
        <w:t>490 year</w:t>
      </w:r>
      <w:r w:rsidR="0065780A" w:rsidRPr="00BD2FEF">
        <w:rPr>
          <w:rFonts w:eastAsia="MS Gothic" w:cs="Times New Roman"/>
          <w:color w:val="000000"/>
          <w:lang w:val="en-US"/>
        </w:rPr>
        <w:t>s</w:t>
      </w:r>
      <w:r w:rsidR="00CE1BBF" w:rsidRPr="00BD2FEF">
        <w:rPr>
          <w:rFonts w:eastAsia="MS Gothic" w:cs="Times New Roman"/>
          <w:color w:val="000000"/>
          <w:lang w:val="en-US"/>
        </w:rPr>
        <w:t xml:space="preserve"> </w:t>
      </w:r>
      <w:r w:rsidR="006E649D" w:rsidRPr="00BD2FEF">
        <w:rPr>
          <w:rFonts w:eastAsia="MS Gothic" w:cs="Times New Roman"/>
          <w:color w:val="000000"/>
          <w:lang w:val="en-US"/>
        </w:rPr>
        <w:t>i</w:t>
      </w:r>
      <w:r w:rsidR="00CC3E84" w:rsidRPr="00BD2FEF">
        <w:rPr>
          <w:rFonts w:eastAsia="MS Gothic" w:cs="Times New Roman"/>
          <w:color w:val="000000"/>
          <w:lang w:val="en-US"/>
        </w:rPr>
        <w:t xml:space="preserve">s in agreement to the expected </w:t>
      </w:r>
      <w:r w:rsidR="006E649D" w:rsidRPr="00BD2FEF">
        <w:rPr>
          <w:rFonts w:eastAsia="MS Gothic" w:cs="Times New Roman"/>
          <w:color w:val="000000"/>
          <w:lang w:val="en-US"/>
        </w:rPr>
        <w:t xml:space="preserve">500 years recurrence time of full segment ruptures with patches of 40 m of slip, like the </w:t>
      </w:r>
      <w:r w:rsidR="00E5641B" w:rsidRPr="00BD2FEF">
        <w:rPr>
          <w:rFonts w:eastAsia="MS Gothic" w:cs="Times New Roman"/>
          <w:color w:val="000000"/>
          <w:lang w:val="en-US"/>
        </w:rPr>
        <w:t>CE</w:t>
      </w:r>
      <w:r w:rsidR="006E649D" w:rsidRPr="00BD2FEF">
        <w:rPr>
          <w:rFonts w:eastAsia="MS Gothic" w:cs="Times New Roman"/>
          <w:color w:val="000000"/>
          <w:lang w:val="en-US"/>
        </w:rPr>
        <w:t xml:space="preserve"> 1960 earthquake</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(Cifuentes, 1989; Moreno et al., 2009; Moernaut et al., 2014)</w:t>
      </w:r>
      <w:r w:rsidR="006E649D" w:rsidRPr="00C27413">
        <w:rPr>
          <w:rFonts w:eastAsia="MS Gothic" w:cs="Times New Roman"/>
          <w:color w:val="000000"/>
          <w:lang w:val="en-US"/>
        </w:rPr>
        <w:t xml:space="preserve">. </w:t>
      </w:r>
      <w:r w:rsidR="006477D2" w:rsidRPr="00C27413">
        <w:rPr>
          <w:rFonts w:eastAsia="MS Gothic" w:cs="Times New Roman"/>
          <w:color w:val="000000"/>
          <w:lang w:val="en-US"/>
        </w:rPr>
        <w:t>More rec</w:t>
      </w:r>
      <w:r w:rsidR="006477D2" w:rsidRPr="00BD2FEF">
        <w:rPr>
          <w:rFonts w:eastAsia="MS Gothic" w:cs="Times New Roman"/>
          <w:color w:val="000000"/>
          <w:lang w:val="en-US"/>
        </w:rPr>
        <w:t xml:space="preserve">ent findings of two separate and time-dependent earthquake recurrence patterns </w:t>
      </w:r>
      <w:r w:rsidR="007849C3" w:rsidRPr="00BD2FEF">
        <w:rPr>
          <w:rFonts w:eastAsia="MS Gothic" w:cs="Times New Roman"/>
          <w:color w:val="000000"/>
          <w:lang w:val="en-US"/>
        </w:rPr>
        <w:t>in the CE 1960 rupture zone</w:t>
      </w:r>
      <w:r w:rsidR="00CE1BBF" w:rsidRPr="00BD2FEF">
        <w:rPr>
          <w:rFonts w:eastAsia="MS Gothic" w:cs="Times New Roman"/>
          <w:color w:val="000000"/>
          <w:lang w:val="en-US"/>
        </w:rPr>
        <w:t xml:space="preserve"> suggest </w:t>
      </w:r>
      <w:r w:rsidR="00B9485C" w:rsidRPr="00BD2FEF">
        <w:rPr>
          <w:rFonts w:eastAsia="MS Gothic" w:cs="Times New Roman"/>
          <w:color w:val="000000"/>
          <w:lang w:val="en-US"/>
        </w:rPr>
        <w:t xml:space="preserve">recurrence times </w:t>
      </w:r>
      <w:r w:rsidR="006477D2" w:rsidRPr="00BD2FEF">
        <w:rPr>
          <w:rFonts w:eastAsia="MS Gothic" w:cs="Times New Roman"/>
          <w:color w:val="000000"/>
          <w:lang w:val="en-US"/>
        </w:rPr>
        <w:t xml:space="preserve">of 139 ± 69 years and 292 ± 93 years for </w:t>
      </w:r>
      <w:r w:rsidR="006477D2" w:rsidRPr="00BD2FEF">
        <w:rPr>
          <w:rFonts w:eastAsia="MS Gothic" w:cs="Times New Roman"/>
          <w:color w:val="000000"/>
          <w:szCs w:val="24"/>
          <w:lang w:val="en-US"/>
        </w:rPr>
        <w:t>M</w:t>
      </w:r>
      <w:r w:rsidR="0065780A" w:rsidRPr="00BD2FEF">
        <w:rPr>
          <w:rFonts w:eastAsia="MS Gothic" w:cs="Times New Roman"/>
          <w:color w:val="000000"/>
          <w:szCs w:val="24"/>
          <w:lang w:val="en-US"/>
        </w:rPr>
        <w:t>≥</w:t>
      </w:r>
      <w:r w:rsidR="006477D2" w:rsidRPr="00BD2FEF">
        <w:rPr>
          <w:rFonts w:eastAsia="MS Gothic" w:cs="Times New Roman"/>
          <w:color w:val="000000"/>
          <w:szCs w:val="24"/>
          <w:lang w:val="en-US"/>
        </w:rPr>
        <w:t>7.7 and M</w:t>
      </w:r>
      <w:r w:rsidR="0065780A" w:rsidRPr="00BD2FEF">
        <w:rPr>
          <w:rFonts w:eastAsia="MS Gothic" w:cs="Times New Roman"/>
          <w:color w:val="000000"/>
          <w:szCs w:val="24"/>
          <w:lang w:val="en-US"/>
        </w:rPr>
        <w:t>≥</w:t>
      </w:r>
      <w:r w:rsidR="006477D2" w:rsidRPr="00BD2FEF">
        <w:rPr>
          <w:rFonts w:eastAsia="MS Gothic" w:cs="Times New Roman"/>
          <w:color w:val="000000"/>
          <w:szCs w:val="24"/>
          <w:lang w:val="en-US"/>
        </w:rPr>
        <w:t>8</w:t>
      </w:r>
      <w:r w:rsidR="006477D2" w:rsidRPr="00BD2FEF">
        <w:rPr>
          <w:rFonts w:eastAsia="MS Gothic" w:cs="Times New Roman"/>
          <w:color w:val="000000"/>
          <w:lang w:val="en-US"/>
        </w:rPr>
        <w:t>.6 earthquakes, respectively</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(Moernaut et al., 2018)</w:t>
      </w:r>
      <w:r w:rsidR="006477D2" w:rsidRPr="00C27413">
        <w:rPr>
          <w:rFonts w:eastAsia="MS Gothic" w:cs="Times New Roman"/>
          <w:color w:val="000000"/>
          <w:lang w:val="en-US"/>
        </w:rPr>
        <w:t xml:space="preserve">. In the Lake Huelde record, we cannot make a distinction between earthquake </w:t>
      </w:r>
      <w:r w:rsidR="00B9485C" w:rsidRPr="00C27413">
        <w:rPr>
          <w:rFonts w:eastAsia="MS Gothic" w:cs="Times New Roman"/>
          <w:color w:val="000000"/>
          <w:lang w:val="en-US"/>
        </w:rPr>
        <w:t xml:space="preserve">or tsunami </w:t>
      </w:r>
      <w:r w:rsidR="006477D2" w:rsidRPr="00BD2FEF">
        <w:rPr>
          <w:rFonts w:eastAsia="MS Gothic" w:cs="Times New Roman"/>
          <w:color w:val="000000"/>
          <w:lang w:val="en-US"/>
        </w:rPr>
        <w:t>magnitudes</w:t>
      </w:r>
      <w:r w:rsidR="00CC58FC" w:rsidRPr="00BD2FEF">
        <w:rPr>
          <w:rFonts w:eastAsia="MS Gothic" w:cs="Times New Roman"/>
          <w:color w:val="000000"/>
          <w:lang w:val="en-US"/>
        </w:rPr>
        <w:t>, because the tsunami deposits can exhibit strong spatial variability</w:t>
      </w:r>
      <w:r w:rsidR="00730A9F">
        <w:rPr>
          <w:rFonts w:eastAsia="MS Gothic" w:cs="Times New Roman"/>
          <w:color w:val="000000"/>
          <w:lang w:val="en-US"/>
        </w:rPr>
        <w:t xml:space="preserve"> </w:t>
      </w:r>
      <w:r w:rsidR="005524B6" w:rsidRPr="005524B6">
        <w:rPr>
          <w:rFonts w:cs="Times New Roman"/>
          <w:color w:val="4F81BD" w:themeColor="accent1"/>
          <w:szCs w:val="24"/>
          <w:lang w:val="en-US"/>
        </w:rPr>
        <w:t>(Kempf et al., 201</w:t>
      </w:r>
      <w:r w:rsidR="005524B6">
        <w:rPr>
          <w:rFonts w:cs="Times New Roman"/>
          <w:color w:val="4F81BD" w:themeColor="accent1"/>
          <w:szCs w:val="24"/>
          <w:lang w:val="en-US"/>
        </w:rPr>
        <w:t>5</w:t>
      </w:r>
      <w:r w:rsidR="005524B6" w:rsidRPr="005524B6">
        <w:rPr>
          <w:rFonts w:cs="Times New Roman"/>
          <w:color w:val="4F81BD" w:themeColor="accent1"/>
          <w:szCs w:val="24"/>
          <w:lang w:val="en-US"/>
        </w:rPr>
        <w:t>)</w:t>
      </w:r>
      <w:r w:rsidR="00566E07" w:rsidRPr="00C27413">
        <w:rPr>
          <w:rFonts w:eastAsia="MS Gothic" w:cs="Times New Roman"/>
          <w:color w:val="000000"/>
          <w:lang w:val="en-US"/>
        </w:rPr>
        <w:t xml:space="preserve">. </w:t>
      </w:r>
    </w:p>
    <w:p w14:paraId="37BF2E7F" w14:textId="1B2D6D8C" w:rsidR="006E649D" w:rsidRPr="00C27413" w:rsidRDefault="006E649D" w:rsidP="000054FC">
      <w:pPr>
        <w:rPr>
          <w:rFonts w:eastAsia="MS Gothic" w:cs="Times New Roman"/>
          <w:color w:val="000000"/>
          <w:lang w:val="en-US"/>
        </w:rPr>
      </w:pPr>
      <w:r w:rsidRPr="00C27413">
        <w:rPr>
          <w:rFonts w:eastAsia="MS Gothic" w:cs="Times New Roman"/>
          <w:color w:val="000000"/>
          <w:lang w:val="en-US"/>
        </w:rPr>
        <w:t xml:space="preserve">The </w:t>
      </w:r>
      <w:r w:rsidR="007849C3" w:rsidRPr="00BD2FEF">
        <w:rPr>
          <w:rFonts w:eastAsia="MS Gothic" w:cs="Times New Roman"/>
          <w:color w:val="000000"/>
          <w:lang w:val="en-US"/>
        </w:rPr>
        <w:t>bimodality of the</w:t>
      </w:r>
      <w:r w:rsidRPr="00BD2FEF">
        <w:rPr>
          <w:rFonts w:eastAsia="MS Gothic" w:cs="Times New Roman"/>
          <w:color w:val="000000"/>
          <w:lang w:val="en-US"/>
        </w:rPr>
        <w:t xml:space="preserve"> recurrence pattern of tsunamis </w:t>
      </w:r>
      <w:r w:rsidR="00601AFF" w:rsidRPr="00BD2FEF">
        <w:rPr>
          <w:rFonts w:eastAsia="MS Gothic" w:cs="Times New Roman"/>
          <w:color w:val="000000"/>
          <w:lang w:val="en-US"/>
        </w:rPr>
        <w:t xml:space="preserve">inundating Lake Huelde </w:t>
      </w:r>
      <w:r w:rsidR="007849C3" w:rsidRPr="00BD2FEF">
        <w:rPr>
          <w:rFonts w:eastAsia="MS Gothic" w:cs="Times New Roman"/>
          <w:color w:val="000000"/>
          <w:lang w:val="en-US"/>
        </w:rPr>
        <w:t xml:space="preserve">is statistically </w:t>
      </w:r>
      <w:r w:rsidR="007849C3" w:rsidRPr="00044FDF">
        <w:rPr>
          <w:rFonts w:eastAsia="MS Gothic" w:cs="Times New Roman"/>
          <w:color w:val="000000"/>
          <w:lang w:val="en-US"/>
        </w:rPr>
        <w:t>robust. Th</w:t>
      </w:r>
      <w:r w:rsidR="00AA6BDE" w:rsidRPr="00044FDF">
        <w:rPr>
          <w:rFonts w:eastAsia="MS Gothic" w:cs="Times New Roman"/>
          <w:color w:val="000000"/>
          <w:lang w:val="en-US"/>
        </w:rPr>
        <w:t>e bimodality</w:t>
      </w:r>
      <w:r w:rsidR="007849C3" w:rsidRPr="00044FDF">
        <w:rPr>
          <w:rFonts w:eastAsia="MS Gothic" w:cs="Times New Roman"/>
          <w:color w:val="000000"/>
          <w:lang w:val="en-US"/>
        </w:rPr>
        <w:t xml:space="preserve"> </w:t>
      </w:r>
      <w:r w:rsidRPr="00044FDF">
        <w:rPr>
          <w:rFonts w:eastAsia="MS Gothic" w:cs="Times New Roman"/>
          <w:color w:val="000000"/>
          <w:lang w:val="en-US"/>
        </w:rPr>
        <w:t>can be ex</w:t>
      </w:r>
      <w:r w:rsidR="0065743C" w:rsidRPr="00044FDF">
        <w:rPr>
          <w:rFonts w:eastAsia="MS Gothic" w:cs="Times New Roman"/>
          <w:color w:val="000000"/>
          <w:lang w:val="en-US"/>
        </w:rPr>
        <w:t xml:space="preserve">plained in three different ways. </w:t>
      </w:r>
      <w:r w:rsidRPr="00044FDF">
        <w:rPr>
          <w:rFonts w:eastAsia="MS Gothic" w:cs="Times New Roman"/>
          <w:color w:val="000000"/>
          <w:lang w:val="en-US"/>
        </w:rPr>
        <w:t>Firstly, da</w:t>
      </w:r>
      <w:r w:rsidR="00601AFF" w:rsidRPr="00044FDF">
        <w:rPr>
          <w:rFonts w:eastAsia="MS Gothic" w:cs="Times New Roman"/>
          <w:color w:val="000000"/>
          <w:lang w:val="en-US"/>
        </w:rPr>
        <w:t>ta may be missing</w:t>
      </w:r>
      <w:r w:rsidR="007849C3" w:rsidRPr="00044FDF">
        <w:rPr>
          <w:rFonts w:eastAsia="MS Gothic" w:cs="Times New Roman"/>
          <w:color w:val="000000"/>
          <w:lang w:val="en-US"/>
        </w:rPr>
        <w:t xml:space="preserve">. This </w:t>
      </w:r>
      <w:r w:rsidR="00C47579" w:rsidRPr="00044FDF">
        <w:rPr>
          <w:rFonts w:eastAsia="MS Gothic" w:cs="Times New Roman"/>
          <w:color w:val="000000"/>
          <w:lang w:val="en-US"/>
        </w:rPr>
        <w:t>seems</w:t>
      </w:r>
      <w:r w:rsidRPr="00044FDF">
        <w:rPr>
          <w:rFonts w:eastAsia="MS Gothic" w:cs="Times New Roman"/>
          <w:color w:val="000000"/>
          <w:lang w:val="en-US"/>
        </w:rPr>
        <w:t xml:space="preserve"> unlikely, due to the strong agreement between the Lake Huelde record and the historical and sedimentary records </w:t>
      </w:r>
      <w:r w:rsidR="007832D1" w:rsidRPr="00044FDF">
        <w:rPr>
          <w:rFonts w:eastAsia="MS Gothic" w:cs="Times New Roman"/>
          <w:color w:val="000000"/>
          <w:lang w:val="en-US"/>
        </w:rPr>
        <w:t xml:space="preserve">during the last ~2000 years </w:t>
      </w:r>
      <w:r w:rsidRPr="00044FDF">
        <w:rPr>
          <w:rFonts w:eastAsia="MS Gothic" w:cs="Times New Roman"/>
          <w:color w:val="000000"/>
          <w:lang w:val="en-US"/>
        </w:rPr>
        <w:t>from other areas without over- or underrepresentation</w:t>
      </w:r>
      <w:r w:rsidR="005524B6">
        <w:rPr>
          <w:rFonts w:eastAsia="MS Gothic" w:cs="Times New Roman"/>
          <w:color w:val="000000"/>
          <w:lang w:val="en-US"/>
        </w:rPr>
        <w:t xml:space="preserve"> </w:t>
      </w:r>
      <w:r w:rsidR="005524B6" w:rsidRPr="005524B6">
        <w:rPr>
          <w:rFonts w:cs="Times New Roman"/>
          <w:color w:val="4F81BD" w:themeColor="accent1"/>
          <w:szCs w:val="24"/>
          <w:lang w:val="en-US"/>
        </w:rPr>
        <w:t>(Kempf et al., 2017)</w:t>
      </w:r>
      <w:r w:rsidRPr="00C27413">
        <w:rPr>
          <w:rFonts w:eastAsia="MS Gothic" w:cs="Times New Roman"/>
          <w:color w:val="000000"/>
          <w:lang w:val="en-US"/>
        </w:rPr>
        <w:t xml:space="preserve">. </w:t>
      </w:r>
      <w:r w:rsidR="004B58EB" w:rsidRPr="00044FDF">
        <w:rPr>
          <w:rFonts w:eastAsia="MS Gothic" w:cs="Times New Roman"/>
          <w:color w:val="000000"/>
          <w:lang w:val="en-US"/>
        </w:rPr>
        <w:t xml:space="preserve">Furthermore, the youngest 8 tsunami deposits of the last </w:t>
      </w:r>
      <w:r w:rsidR="004B58EB" w:rsidRPr="00044FDF">
        <w:rPr>
          <w:rFonts w:cs="Times New Roman"/>
          <w:lang w:val="en-US"/>
        </w:rPr>
        <w:t>~</w:t>
      </w:r>
      <w:r w:rsidR="004B58EB" w:rsidRPr="00044FDF">
        <w:rPr>
          <w:rFonts w:eastAsia="MS Gothic" w:cs="Times New Roman"/>
          <w:color w:val="000000"/>
          <w:lang w:val="en-US"/>
        </w:rPr>
        <w:t xml:space="preserve">2000 years from Lake Huelde can be correlated to coastal subsidence, and therefore </w:t>
      </w:r>
      <w:r w:rsidR="0065743C" w:rsidRPr="00044FDF">
        <w:rPr>
          <w:rFonts w:eastAsia="MS Gothic" w:cs="Times New Roman"/>
          <w:color w:val="000000"/>
          <w:lang w:val="en-US"/>
        </w:rPr>
        <w:t xml:space="preserve">to </w:t>
      </w:r>
      <w:r w:rsidR="004B58EB" w:rsidRPr="00044FDF">
        <w:rPr>
          <w:rFonts w:eastAsia="MS Gothic" w:cs="Times New Roman"/>
          <w:color w:val="000000"/>
          <w:lang w:val="en-US"/>
        </w:rPr>
        <w:t>near-field events in Maullín, 110 km north of Lake Huelde</w:t>
      </w:r>
      <w:r w:rsidR="00FC1AE7" w:rsidRPr="00044FDF">
        <w:rPr>
          <w:rFonts w:eastAsia="MS Gothic" w:cs="Times New Roman"/>
          <w:color w:val="000000"/>
          <w:lang w:val="en-US"/>
        </w:rPr>
        <w:t xml:space="preserve"> </w:t>
      </w:r>
      <w:r w:rsidR="00FC1AE7" w:rsidRPr="00730A9F">
        <w:rPr>
          <w:rFonts w:eastAsia="MS Gothic" w:cs="Times New Roman"/>
          <w:color w:val="C00000"/>
          <w:lang w:val="en-US"/>
        </w:rPr>
        <w:t>(Fig. 1)</w:t>
      </w:r>
      <w:r w:rsidR="004B58EB" w:rsidRPr="00044FDF">
        <w:rPr>
          <w:rFonts w:eastAsia="MS Gothic" w:cs="Times New Roman"/>
          <w:color w:val="000000"/>
          <w:lang w:val="en-US"/>
        </w:rPr>
        <w:t xml:space="preserve"> </w:t>
      </w:r>
      <w:r w:rsidR="00730A9F" w:rsidRPr="00730A9F">
        <w:rPr>
          <w:rFonts w:eastAsia="MS Gothic" w:cs="Times New Roman"/>
          <w:color w:val="4F81BD" w:themeColor="accent1"/>
          <w:lang w:val="en-US"/>
        </w:rPr>
        <w:t>(Cisternas et al., 2005)</w:t>
      </w:r>
      <w:r w:rsidR="004B58EB" w:rsidRPr="00C27413">
        <w:rPr>
          <w:rFonts w:eastAsia="MS Gothic" w:cs="Times New Roman"/>
          <w:color w:val="000000"/>
          <w:lang w:val="en-US"/>
        </w:rPr>
        <w:t xml:space="preserve">. </w:t>
      </w:r>
    </w:p>
    <w:p w14:paraId="3C678BB0" w14:textId="2DC58299" w:rsidR="006E649D" w:rsidRPr="00044FDF" w:rsidRDefault="00270172" w:rsidP="000054FC">
      <w:pPr>
        <w:rPr>
          <w:rFonts w:eastAsia="MS Gothic" w:cs="Times New Roman"/>
          <w:color w:val="000000"/>
          <w:lang w:val="en-US"/>
        </w:rPr>
      </w:pPr>
      <w:r w:rsidRPr="00C27413">
        <w:rPr>
          <w:rFonts w:eastAsia="MS Gothic" w:cs="Times New Roman"/>
          <w:color w:val="000000"/>
          <w:lang w:val="en-US"/>
        </w:rPr>
        <w:t>Secondly</w:t>
      </w:r>
      <w:r w:rsidR="004B58EB" w:rsidRPr="00C27413">
        <w:rPr>
          <w:rFonts w:eastAsia="MS Gothic" w:cs="Times New Roman"/>
          <w:color w:val="000000"/>
          <w:lang w:val="en-US"/>
        </w:rPr>
        <w:t xml:space="preserve">, </w:t>
      </w:r>
      <w:r w:rsidR="007404CA" w:rsidRPr="00BD2FEF">
        <w:rPr>
          <w:rFonts w:eastAsia="MS Gothic" w:cs="Times New Roman"/>
          <w:color w:val="000000"/>
          <w:lang w:val="en-US"/>
        </w:rPr>
        <w:t xml:space="preserve">meteorite impacts, </w:t>
      </w:r>
      <w:r w:rsidR="006E649D" w:rsidRPr="00BD2FEF">
        <w:rPr>
          <w:rFonts w:eastAsia="MS Gothic" w:cs="Times New Roman"/>
          <w:color w:val="000000"/>
          <w:lang w:val="en-US"/>
        </w:rPr>
        <w:t>purely landslide related</w:t>
      </w:r>
      <w:r w:rsidR="007404CA" w:rsidRPr="00BD2FEF">
        <w:rPr>
          <w:rFonts w:eastAsia="MS Gothic" w:cs="Times New Roman"/>
          <w:color w:val="000000"/>
          <w:lang w:val="en-US"/>
        </w:rPr>
        <w:t xml:space="preserve"> and other</w:t>
      </w:r>
      <w:r w:rsidR="006E649D" w:rsidRPr="00BD2FEF">
        <w:rPr>
          <w:rFonts w:eastAsia="MS Gothic" w:cs="Times New Roman"/>
          <w:color w:val="000000"/>
          <w:lang w:val="en-US"/>
        </w:rPr>
        <w:t xml:space="preserve"> triggers as tsunamigenic processes</w:t>
      </w:r>
      <w:r w:rsidR="00C47579" w:rsidRPr="00BD2FEF">
        <w:rPr>
          <w:rFonts w:eastAsia="MS Gothic" w:cs="Times New Roman"/>
          <w:color w:val="000000"/>
          <w:lang w:val="en-US"/>
        </w:rPr>
        <w:t xml:space="preserve"> could </w:t>
      </w:r>
      <w:r w:rsidR="00BD7C48" w:rsidRPr="00BD2FEF">
        <w:rPr>
          <w:rFonts w:eastAsia="MS Gothic" w:cs="Times New Roman"/>
          <w:color w:val="000000"/>
          <w:lang w:val="en-US"/>
        </w:rPr>
        <w:t xml:space="preserve">superimpose and </w:t>
      </w:r>
      <w:r w:rsidR="00C47579" w:rsidRPr="00BD2FEF">
        <w:rPr>
          <w:rFonts w:eastAsia="MS Gothic" w:cs="Times New Roman"/>
          <w:color w:val="000000"/>
          <w:lang w:val="en-US"/>
        </w:rPr>
        <w:t xml:space="preserve">cause bimodality. These triggers can be </w:t>
      </w:r>
      <w:r w:rsidR="00C47579" w:rsidRPr="00044FDF">
        <w:rPr>
          <w:rFonts w:eastAsia="MS Gothic" w:cs="Times New Roman"/>
          <w:color w:val="000000"/>
          <w:lang w:val="en-US"/>
        </w:rPr>
        <w:t xml:space="preserve">excluded, </w:t>
      </w:r>
      <w:r w:rsidR="006E649D" w:rsidRPr="00044FDF">
        <w:rPr>
          <w:rFonts w:eastAsia="MS Gothic" w:cs="Times New Roman"/>
          <w:color w:val="000000"/>
          <w:lang w:val="en-US"/>
        </w:rPr>
        <w:t xml:space="preserve">because there are no known </w:t>
      </w:r>
      <w:r w:rsidR="000C055C" w:rsidRPr="00044FDF">
        <w:rPr>
          <w:rFonts w:eastAsia="MS Gothic" w:cs="Times New Roman"/>
          <w:color w:val="000000"/>
          <w:lang w:val="en-US"/>
        </w:rPr>
        <w:t>candidates,</w:t>
      </w:r>
      <w:r w:rsidR="006E649D" w:rsidRPr="00044FDF">
        <w:rPr>
          <w:rFonts w:eastAsia="MS Gothic" w:cs="Times New Roman"/>
          <w:color w:val="000000"/>
          <w:lang w:val="en-US"/>
        </w:rPr>
        <w:t xml:space="preserve"> and should </w:t>
      </w:r>
      <w:r w:rsidR="00251805" w:rsidRPr="00044FDF">
        <w:rPr>
          <w:rFonts w:eastAsia="MS Gothic" w:cs="Times New Roman"/>
          <w:color w:val="000000"/>
          <w:lang w:val="en-US"/>
        </w:rPr>
        <w:t xml:space="preserve">they </w:t>
      </w:r>
      <w:r w:rsidR="006E649D" w:rsidRPr="00044FDF">
        <w:rPr>
          <w:rFonts w:eastAsia="MS Gothic" w:cs="Times New Roman"/>
          <w:color w:val="000000"/>
          <w:lang w:val="en-US"/>
        </w:rPr>
        <w:t>have o</w:t>
      </w:r>
      <w:r w:rsidR="00CC3E84" w:rsidRPr="00044FDF">
        <w:rPr>
          <w:rFonts w:eastAsia="MS Gothic" w:cs="Times New Roman"/>
          <w:color w:val="000000"/>
          <w:lang w:val="en-US"/>
        </w:rPr>
        <w:t>ccurred in the past 5</w:t>
      </w:r>
      <w:r w:rsidR="006E649D" w:rsidRPr="00044FDF">
        <w:rPr>
          <w:rFonts w:eastAsia="MS Gothic" w:cs="Times New Roman"/>
          <w:color w:val="000000"/>
          <w:lang w:val="en-US"/>
        </w:rPr>
        <w:t>5</w:t>
      </w:r>
      <w:r w:rsidR="00CC3E84" w:rsidRPr="00044FDF">
        <w:rPr>
          <w:rFonts w:eastAsia="MS Gothic" w:cs="Times New Roman"/>
          <w:color w:val="000000"/>
          <w:lang w:val="en-US"/>
        </w:rPr>
        <w:t>00</w:t>
      </w:r>
      <w:r w:rsidR="006E649D" w:rsidRPr="00044FDF">
        <w:rPr>
          <w:rFonts w:eastAsia="MS Gothic" w:cs="Times New Roman"/>
          <w:color w:val="000000"/>
          <w:lang w:val="en-US"/>
        </w:rPr>
        <w:t xml:space="preserve"> </w:t>
      </w:r>
      <w:r w:rsidR="00CC3E84" w:rsidRPr="00044FDF">
        <w:rPr>
          <w:rFonts w:eastAsia="MS Gothic" w:cs="Times New Roman"/>
          <w:color w:val="000000"/>
          <w:lang w:val="en-US"/>
        </w:rPr>
        <w:t>y</w:t>
      </w:r>
      <w:r w:rsidR="00601AFF" w:rsidRPr="00044FDF">
        <w:rPr>
          <w:rFonts w:eastAsia="MS Gothic" w:cs="Times New Roman"/>
          <w:color w:val="000000"/>
          <w:lang w:val="en-US"/>
        </w:rPr>
        <w:t>ea</w:t>
      </w:r>
      <w:r w:rsidR="00CC3E84" w:rsidRPr="00044FDF">
        <w:rPr>
          <w:rFonts w:eastAsia="MS Gothic" w:cs="Times New Roman"/>
          <w:color w:val="000000"/>
          <w:lang w:val="en-US"/>
        </w:rPr>
        <w:t>rs</w:t>
      </w:r>
      <w:r w:rsidR="006E649D" w:rsidRPr="00044FDF">
        <w:rPr>
          <w:rFonts w:eastAsia="MS Gothic" w:cs="Times New Roman"/>
          <w:color w:val="000000"/>
          <w:lang w:val="en-US"/>
        </w:rPr>
        <w:t xml:space="preserve">, it would most likely be a singular event in the record. It is possible that far-field tsunamis from other subduction zone segments across the Pacific are among the tsunami sources. However, in recent history, e.g. </w:t>
      </w:r>
      <w:r w:rsidR="00601AFF" w:rsidRPr="00044FDF">
        <w:rPr>
          <w:rFonts w:eastAsia="MS Gothic" w:cs="Times New Roman"/>
          <w:color w:val="000000"/>
          <w:lang w:val="en-US"/>
        </w:rPr>
        <w:t>CE</w:t>
      </w:r>
      <w:r w:rsidR="006E649D" w:rsidRPr="00044FDF">
        <w:rPr>
          <w:rFonts w:eastAsia="MS Gothic" w:cs="Times New Roman"/>
          <w:color w:val="000000"/>
          <w:lang w:val="en-US"/>
        </w:rPr>
        <w:t xml:space="preserve"> 1946 Aleutian Islands, </w:t>
      </w:r>
      <w:r w:rsidR="00601AFF" w:rsidRPr="00044FDF">
        <w:rPr>
          <w:rFonts w:eastAsia="MS Gothic" w:cs="Times New Roman"/>
          <w:color w:val="000000"/>
          <w:lang w:val="en-US"/>
        </w:rPr>
        <w:t>CE</w:t>
      </w:r>
      <w:r w:rsidR="006E649D" w:rsidRPr="00044FDF">
        <w:rPr>
          <w:rFonts w:eastAsia="MS Gothic" w:cs="Times New Roman"/>
          <w:color w:val="000000"/>
          <w:lang w:val="en-US"/>
        </w:rPr>
        <w:t xml:space="preserve"> 1952 Kamchatka, </w:t>
      </w:r>
      <w:r w:rsidR="00601AFF" w:rsidRPr="00044FDF">
        <w:rPr>
          <w:rFonts w:eastAsia="MS Gothic" w:cs="Times New Roman"/>
          <w:color w:val="000000"/>
          <w:lang w:val="en-US"/>
        </w:rPr>
        <w:t>CE</w:t>
      </w:r>
      <w:r w:rsidR="006E649D" w:rsidRPr="00044FDF">
        <w:rPr>
          <w:rFonts w:eastAsia="MS Gothic" w:cs="Times New Roman"/>
          <w:color w:val="000000"/>
          <w:lang w:val="en-US"/>
        </w:rPr>
        <w:t xml:space="preserve"> 1964 Alaska, </w:t>
      </w:r>
      <w:r w:rsidR="00601AFF" w:rsidRPr="00044FDF">
        <w:rPr>
          <w:rFonts w:eastAsia="MS Gothic" w:cs="Times New Roman"/>
          <w:color w:val="000000"/>
          <w:lang w:val="en-US"/>
        </w:rPr>
        <w:t>CE</w:t>
      </w:r>
      <w:r w:rsidR="006E649D" w:rsidRPr="00044FDF">
        <w:rPr>
          <w:rFonts w:eastAsia="MS Gothic" w:cs="Times New Roman"/>
          <w:color w:val="000000"/>
          <w:lang w:val="en-US"/>
        </w:rPr>
        <w:t xml:space="preserve"> 2010 Maule, </w:t>
      </w:r>
      <w:r w:rsidR="00601AFF" w:rsidRPr="00044FDF">
        <w:rPr>
          <w:rFonts w:eastAsia="MS Gothic" w:cs="Times New Roman"/>
          <w:color w:val="000000"/>
          <w:lang w:val="en-US"/>
        </w:rPr>
        <w:t>CE</w:t>
      </w:r>
      <w:r w:rsidR="006E649D" w:rsidRPr="00044FDF">
        <w:rPr>
          <w:rFonts w:eastAsia="MS Gothic" w:cs="Times New Roman"/>
          <w:color w:val="000000"/>
          <w:lang w:val="en-US"/>
        </w:rPr>
        <w:t xml:space="preserve"> 2011 T</w:t>
      </w:r>
      <w:r w:rsidR="006E649D" w:rsidRPr="00044FDF">
        <w:rPr>
          <w:rFonts w:cs="Times New Roman"/>
          <w:color w:val="000000"/>
          <w:lang w:val="en-US"/>
        </w:rPr>
        <w:t>ō</w:t>
      </w:r>
      <w:r w:rsidR="006E649D" w:rsidRPr="00044FDF">
        <w:rPr>
          <w:rFonts w:eastAsia="MS Gothic" w:cs="Times New Roman"/>
          <w:color w:val="000000"/>
          <w:lang w:val="en-US"/>
        </w:rPr>
        <w:t xml:space="preserve">hoku, none of the giant </w:t>
      </w:r>
      <w:r w:rsidR="00601AFF" w:rsidRPr="00044FDF">
        <w:rPr>
          <w:rFonts w:eastAsia="MS Gothic" w:cs="Times New Roman"/>
          <w:color w:val="000000"/>
          <w:lang w:val="en-US"/>
        </w:rPr>
        <w:t xml:space="preserve">Pacific </w:t>
      </w:r>
      <w:r w:rsidR="006E649D" w:rsidRPr="00044FDF">
        <w:rPr>
          <w:rFonts w:eastAsia="MS Gothic" w:cs="Times New Roman"/>
          <w:color w:val="000000"/>
          <w:lang w:val="en-US"/>
        </w:rPr>
        <w:t>tsunamis caused inundation into Lake Huelde or had a significant effect elsewhere on the coast of Chiloé</w:t>
      </w:r>
      <w:r w:rsidR="00601AFF" w:rsidRPr="00044FDF">
        <w:rPr>
          <w:rFonts w:eastAsia="MS Gothic" w:cs="Times New Roman"/>
          <w:color w:val="000000"/>
          <w:lang w:val="en-US"/>
        </w:rPr>
        <w:t xml:space="preserve"> Island</w:t>
      </w:r>
      <w:r w:rsidR="006E649D" w:rsidRPr="00044FDF">
        <w:rPr>
          <w:rFonts w:eastAsia="MS Gothic" w:cs="Times New Roman"/>
          <w:color w:val="000000"/>
          <w:lang w:val="en-US"/>
        </w:rPr>
        <w:t xml:space="preserve">. If tsunami deposits with far-field sources exist in the Lake Huelde record, it would make the recurrence of local tsunamigenic earthquakes longer. </w:t>
      </w:r>
      <w:r w:rsidR="00C90D98" w:rsidRPr="00044FDF">
        <w:rPr>
          <w:rFonts w:eastAsia="MS Gothic" w:cs="Times New Roman"/>
          <w:color w:val="000000"/>
          <w:lang w:val="en-US"/>
        </w:rPr>
        <w:t xml:space="preserve">However, </w:t>
      </w:r>
      <w:r w:rsidR="006E649D" w:rsidRPr="00044FDF">
        <w:rPr>
          <w:rFonts w:eastAsia="MS Gothic" w:cs="Times New Roman"/>
          <w:color w:val="000000"/>
          <w:lang w:val="en-US"/>
        </w:rPr>
        <w:t xml:space="preserve">the </w:t>
      </w:r>
      <w:r w:rsidR="00AA6BDE" w:rsidRPr="00044FDF">
        <w:rPr>
          <w:rFonts w:eastAsia="MS Gothic" w:cs="Times New Roman"/>
          <w:color w:val="000000"/>
          <w:lang w:val="en-US"/>
        </w:rPr>
        <w:t xml:space="preserve">hazard </w:t>
      </w:r>
      <w:r w:rsidR="00D277F1" w:rsidRPr="00044FDF">
        <w:rPr>
          <w:rFonts w:eastAsia="MS Gothic" w:cs="Times New Roman"/>
          <w:color w:val="000000"/>
          <w:lang w:val="en-US"/>
        </w:rPr>
        <w:t>emanating from extreme waves</w:t>
      </w:r>
      <w:r w:rsidR="00C90D98" w:rsidRPr="00044FDF">
        <w:rPr>
          <w:rFonts w:eastAsia="MS Gothic" w:cs="Times New Roman"/>
          <w:color w:val="000000"/>
          <w:lang w:val="en-US"/>
        </w:rPr>
        <w:t xml:space="preserve"> – far-field or near-field – </w:t>
      </w:r>
      <w:r w:rsidR="00D277F1" w:rsidRPr="00044FDF">
        <w:rPr>
          <w:rFonts w:eastAsia="MS Gothic" w:cs="Times New Roman"/>
          <w:color w:val="000000"/>
          <w:lang w:val="en-US"/>
        </w:rPr>
        <w:t xml:space="preserve">on the south central Chilean coast </w:t>
      </w:r>
      <w:r w:rsidR="006E649D" w:rsidRPr="00044FDF">
        <w:rPr>
          <w:rFonts w:eastAsia="MS Gothic" w:cs="Times New Roman"/>
          <w:color w:val="000000"/>
          <w:lang w:val="en-US"/>
        </w:rPr>
        <w:t xml:space="preserve">would remain the same. </w:t>
      </w:r>
    </w:p>
    <w:p w14:paraId="4D892DFC" w14:textId="787FE72F" w:rsidR="007F20AB" w:rsidRPr="00044FDF" w:rsidRDefault="00270172" w:rsidP="000054FC">
      <w:pPr>
        <w:rPr>
          <w:rFonts w:eastAsia="MS Gothic" w:cs="Times New Roman"/>
          <w:color w:val="000000"/>
          <w:lang w:val="en-US"/>
        </w:rPr>
      </w:pPr>
      <w:r w:rsidRPr="00044FDF">
        <w:rPr>
          <w:rFonts w:eastAsia="MS Gothic" w:cs="Times New Roman"/>
          <w:color w:val="000000"/>
          <w:lang w:val="en-US"/>
        </w:rPr>
        <w:t>Third</w:t>
      </w:r>
      <w:r w:rsidR="004B58EB" w:rsidRPr="00044FDF">
        <w:rPr>
          <w:rFonts w:eastAsia="MS Gothic" w:cs="Times New Roman"/>
          <w:color w:val="000000"/>
          <w:lang w:val="en-US"/>
        </w:rPr>
        <w:t>ly</w:t>
      </w:r>
      <w:r w:rsidR="006E649D" w:rsidRPr="00044FDF">
        <w:rPr>
          <w:rFonts w:eastAsia="MS Gothic" w:cs="Times New Roman"/>
          <w:color w:val="000000"/>
          <w:lang w:val="en-US"/>
        </w:rPr>
        <w:t xml:space="preserve">, the tsunamigenic earthquakes may be a process that is inherently bimodal in south central Chile, controlled by temporal and spatial variability in </w:t>
      </w:r>
      <w:r w:rsidRPr="00044FDF">
        <w:rPr>
          <w:rFonts w:eastAsia="MS Gothic" w:cs="Times New Roman"/>
          <w:color w:val="000000"/>
          <w:lang w:val="en-US"/>
        </w:rPr>
        <w:t xml:space="preserve">multiple </w:t>
      </w:r>
      <w:r w:rsidR="006E649D" w:rsidRPr="00044FDF">
        <w:rPr>
          <w:rFonts w:eastAsia="MS Gothic" w:cs="Times New Roman"/>
          <w:color w:val="000000"/>
          <w:lang w:val="en-US"/>
        </w:rPr>
        <w:t>rupture modes</w:t>
      </w:r>
      <w:r w:rsidR="001D69A5" w:rsidRPr="00044FDF">
        <w:rPr>
          <w:rFonts w:eastAsia="MS Gothic" w:cs="Times New Roman"/>
          <w:color w:val="000000"/>
          <w:lang w:val="en-US"/>
        </w:rPr>
        <w:t xml:space="preserve"> on the megathrust</w:t>
      </w:r>
      <w:r w:rsidRPr="00044FDF">
        <w:rPr>
          <w:rFonts w:eastAsia="MS Gothic" w:cs="Times New Roman"/>
          <w:color w:val="000000"/>
          <w:lang w:val="en-US"/>
        </w:rPr>
        <w:t>. The various rupture modes could have unimodal recurrence patterns</w:t>
      </w:r>
      <w:r w:rsidR="006E649D" w:rsidRPr="00044FDF">
        <w:rPr>
          <w:rFonts w:eastAsia="MS Gothic" w:cs="Times New Roman"/>
          <w:color w:val="000000"/>
          <w:lang w:val="en-US"/>
        </w:rPr>
        <w:t xml:space="preserve">. </w:t>
      </w:r>
      <w:r w:rsidRPr="00044FDF">
        <w:rPr>
          <w:rFonts w:eastAsia="MS Gothic" w:cs="Times New Roman"/>
          <w:color w:val="000000"/>
          <w:lang w:val="en-US"/>
        </w:rPr>
        <w:t>This appears to be the most plausible hypothesis, because of precedence in south</w:t>
      </w:r>
      <w:r w:rsidR="007F20AB" w:rsidRPr="00044FDF">
        <w:rPr>
          <w:rFonts w:eastAsia="MS Gothic" w:cs="Times New Roman"/>
          <w:color w:val="000000"/>
          <w:lang w:val="en-US"/>
        </w:rPr>
        <w:t xml:space="preserve"> central Chile and on other sub</w:t>
      </w:r>
      <w:r w:rsidRPr="00044FDF">
        <w:rPr>
          <w:rFonts w:eastAsia="MS Gothic" w:cs="Times New Roman"/>
          <w:color w:val="000000"/>
          <w:lang w:val="en-US"/>
        </w:rPr>
        <w:t xml:space="preserve">duction zones. </w:t>
      </w:r>
    </w:p>
    <w:p w14:paraId="4001E88D" w14:textId="7DA296E2" w:rsidR="0055256A" w:rsidRPr="00BD2FEF" w:rsidRDefault="00E601D9" w:rsidP="000054FC">
      <w:pPr>
        <w:rPr>
          <w:rFonts w:eastAsia="MS Gothic" w:cs="Times New Roman"/>
          <w:color w:val="000000"/>
          <w:lang w:val="en-US"/>
        </w:rPr>
      </w:pPr>
      <w:r w:rsidRPr="00044FDF">
        <w:rPr>
          <w:rFonts w:eastAsia="MS Gothic" w:cs="Times New Roman"/>
          <w:color w:val="000000"/>
          <w:lang w:val="en-US"/>
        </w:rPr>
        <w:t xml:space="preserve">The seismic rupture potential related to the megathrust in south central Chile varies along-strike and </w:t>
      </w:r>
      <w:r w:rsidR="00545C2F" w:rsidRPr="00044FDF">
        <w:rPr>
          <w:rFonts w:eastAsia="MS Gothic" w:cs="Times New Roman"/>
          <w:color w:val="000000"/>
          <w:lang w:val="en-US"/>
        </w:rPr>
        <w:t>down-</w:t>
      </w:r>
      <w:r w:rsidRPr="00044FDF">
        <w:rPr>
          <w:rFonts w:eastAsia="MS Gothic" w:cs="Times New Roman"/>
          <w:color w:val="000000"/>
          <w:lang w:val="en-US"/>
        </w:rPr>
        <w:t>dip. The along-strike variations are controlled by asperities</w:t>
      </w:r>
      <w:r w:rsidR="007404CA" w:rsidRPr="00044FDF">
        <w:rPr>
          <w:rFonts w:eastAsia="MS Gothic" w:cs="Times New Roman"/>
          <w:color w:val="000000"/>
          <w:lang w:val="en-US"/>
        </w:rPr>
        <w:t xml:space="preserve"> of various sizes </w:t>
      </w:r>
      <w:r w:rsidR="00E62737">
        <w:rPr>
          <w:rFonts w:eastAsia="MS Gothic" w:cs="Times New Roman"/>
          <w:color w:val="000000"/>
          <w:lang w:val="en-US"/>
        </w:rPr>
        <w:t>with various</w:t>
      </w:r>
      <w:r w:rsidR="007404CA" w:rsidRPr="00044FDF">
        <w:rPr>
          <w:rFonts w:eastAsia="MS Gothic" w:cs="Times New Roman"/>
          <w:color w:val="000000"/>
          <w:lang w:val="en-US"/>
        </w:rPr>
        <w:t xml:space="preserve"> inter-event periods</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(Moreno et al., 2018)</w:t>
      </w:r>
      <w:r w:rsidR="007404CA" w:rsidRPr="00C27413">
        <w:rPr>
          <w:rFonts w:eastAsia="MS Gothic" w:cs="Times New Roman"/>
          <w:color w:val="000000"/>
          <w:lang w:val="en-US"/>
        </w:rPr>
        <w:t xml:space="preserve"> </w:t>
      </w:r>
      <w:r w:rsidRPr="00C27413">
        <w:rPr>
          <w:rFonts w:eastAsia="MS Gothic" w:cs="Times New Roman"/>
          <w:color w:val="000000"/>
          <w:lang w:val="en-US"/>
        </w:rPr>
        <w:t>causing along-strike segmentation</w:t>
      </w:r>
      <w:r w:rsidR="00545C2F" w:rsidRPr="00BD2FEF">
        <w:rPr>
          <w:rFonts w:eastAsia="MS Gothic" w:cs="Times New Roman"/>
          <w:color w:val="000000"/>
          <w:lang w:val="en-US"/>
        </w:rPr>
        <w:t>, often following patterns of inter-seismic coupling</w:t>
      </w:r>
      <w:r w:rsidR="00A22CB2" w:rsidRPr="00BD2FEF">
        <w:rPr>
          <w:rFonts w:eastAsia="MS Gothic" w:cs="Times New Roman"/>
          <w:color w:val="000000"/>
          <w:lang w:val="en-US"/>
        </w:rPr>
        <w:t>, e.g. on the Peru-Chile</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(Moreno et al., 201</w:t>
      </w:r>
      <w:r w:rsidR="00730A9F">
        <w:rPr>
          <w:rFonts w:eastAsia="MS Gothic" w:cs="Times New Roman"/>
          <w:color w:val="4F81BD" w:themeColor="accent1"/>
          <w:lang w:val="en-US"/>
        </w:rPr>
        <w:t>1</w:t>
      </w:r>
      <w:r w:rsidR="00730A9F" w:rsidRPr="00730A9F">
        <w:rPr>
          <w:rFonts w:eastAsia="MS Gothic" w:cs="Times New Roman"/>
          <w:color w:val="4F81BD" w:themeColor="accent1"/>
          <w:lang w:val="en-US"/>
        </w:rPr>
        <w:t>)</w:t>
      </w:r>
      <w:r w:rsidR="00A22CB2" w:rsidRPr="00C27413">
        <w:rPr>
          <w:rFonts w:eastAsia="MS Gothic" w:cs="Times New Roman"/>
          <w:color w:val="000000"/>
          <w:lang w:val="en-US"/>
        </w:rPr>
        <w:t>, the Sunda Arc</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(Chlieh et al., 2008)</w:t>
      </w:r>
      <w:r w:rsidR="00A22CB2" w:rsidRPr="00C27413">
        <w:rPr>
          <w:rFonts w:eastAsia="MS Gothic" w:cs="Times New Roman"/>
          <w:color w:val="000000"/>
          <w:lang w:val="en-US"/>
        </w:rPr>
        <w:t xml:space="preserve"> and the Kamchatka subduction zones</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(Bürgmann et al., 2005)</w:t>
      </w:r>
      <w:r w:rsidRPr="00C27413">
        <w:rPr>
          <w:rFonts w:eastAsia="MS Gothic" w:cs="Times New Roman"/>
          <w:color w:val="000000"/>
          <w:lang w:val="en-US"/>
        </w:rPr>
        <w:t>.</w:t>
      </w:r>
      <w:r w:rsidR="00545C2F" w:rsidRPr="00C27413">
        <w:rPr>
          <w:rFonts w:eastAsia="MS Gothic" w:cs="Times New Roman"/>
          <w:color w:val="000000"/>
          <w:lang w:val="en-US"/>
        </w:rPr>
        <w:t xml:space="preserve"> </w:t>
      </w:r>
      <w:r w:rsidR="00AA6BDE" w:rsidRPr="00C27413">
        <w:rPr>
          <w:rFonts w:eastAsia="MS Gothic" w:cs="Times New Roman"/>
          <w:color w:val="000000"/>
          <w:lang w:val="en-US"/>
        </w:rPr>
        <w:t>In south central Chile, t</w:t>
      </w:r>
      <w:r w:rsidR="00545C2F" w:rsidRPr="00BD2FEF">
        <w:rPr>
          <w:rFonts w:eastAsia="MS Gothic" w:cs="Times New Roman"/>
          <w:color w:val="000000"/>
          <w:lang w:val="en-US"/>
        </w:rPr>
        <w:t>he down-dip zonation is inferred to</w:t>
      </w:r>
      <w:r w:rsidR="00545C2F" w:rsidRPr="00044FDF">
        <w:rPr>
          <w:rFonts w:eastAsia="MS Gothic" w:cs="Times New Roman"/>
          <w:color w:val="000000"/>
          <w:lang w:val="en-US"/>
        </w:rPr>
        <w:t xml:space="preserve"> be controlled by fluid pressure originating from the slab to Moho contact zone</w:t>
      </w:r>
      <w:r w:rsidR="00411D55" w:rsidRPr="00044FDF">
        <w:rPr>
          <w:rFonts w:eastAsia="MS Gothic" w:cs="Times New Roman"/>
          <w:color w:val="000000"/>
          <w:lang w:val="en-US"/>
        </w:rPr>
        <w:t xml:space="preserve"> influencing the deepest seismogenic zone to be able to rupture with </w:t>
      </w:r>
      <w:r w:rsidR="007404CA" w:rsidRPr="00044FDF">
        <w:rPr>
          <w:rFonts w:eastAsia="MS Gothic" w:cs="Times New Roman"/>
          <w:color w:val="000000"/>
          <w:lang w:val="en-US"/>
        </w:rPr>
        <w:t>short</w:t>
      </w:r>
      <w:r w:rsidR="00411D55" w:rsidRPr="00044FDF">
        <w:rPr>
          <w:rFonts w:eastAsia="MS Gothic" w:cs="Times New Roman"/>
          <w:color w:val="000000"/>
          <w:lang w:val="en-US"/>
        </w:rPr>
        <w:t xml:space="preserve">er inter-event periods (~60 years) </w:t>
      </w:r>
      <w:r w:rsidR="00AA6BDE" w:rsidRPr="00044FDF">
        <w:rPr>
          <w:rFonts w:eastAsia="MS Gothic" w:cs="Times New Roman"/>
          <w:color w:val="000000"/>
          <w:lang w:val="en-US"/>
        </w:rPr>
        <w:t xml:space="preserve">and </w:t>
      </w:r>
      <w:r w:rsidR="00411D55" w:rsidRPr="00044FDF">
        <w:rPr>
          <w:rFonts w:eastAsia="MS Gothic" w:cs="Times New Roman"/>
          <w:color w:val="000000"/>
          <w:lang w:val="en-US"/>
        </w:rPr>
        <w:t>lower magnitude (M7-8) compared to the shallower seismogenic zone (&gt;110 years; M8-9)</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 xml:space="preserve">(Moreno et al., </w:t>
      </w:r>
      <w:r w:rsidR="00730A9F" w:rsidRPr="00730A9F">
        <w:rPr>
          <w:rFonts w:eastAsia="MS Gothic" w:cs="Times New Roman"/>
          <w:color w:val="4F81BD" w:themeColor="accent1"/>
          <w:lang w:val="en-US"/>
        </w:rPr>
        <w:lastRenderedPageBreak/>
        <w:t>2018)</w:t>
      </w:r>
      <w:r w:rsidR="00545C2F" w:rsidRPr="00C27413">
        <w:rPr>
          <w:rFonts w:eastAsia="MS Gothic" w:cs="Times New Roman"/>
          <w:color w:val="000000"/>
          <w:lang w:val="en-US"/>
        </w:rPr>
        <w:t>.</w:t>
      </w:r>
      <w:r w:rsidR="00411D55" w:rsidRPr="00C27413">
        <w:rPr>
          <w:rFonts w:eastAsia="MS Gothic" w:cs="Times New Roman"/>
          <w:color w:val="000000"/>
          <w:lang w:val="en-US"/>
        </w:rPr>
        <w:t xml:space="preserve"> </w:t>
      </w:r>
      <w:r w:rsidR="0055256A" w:rsidRPr="00C27413">
        <w:rPr>
          <w:rFonts w:eastAsia="MS Gothic" w:cs="Times New Roman"/>
          <w:color w:val="000000"/>
          <w:lang w:val="en-US"/>
        </w:rPr>
        <w:t>Both along</w:t>
      </w:r>
      <w:r w:rsidR="0055256A" w:rsidRPr="00044FDF">
        <w:rPr>
          <w:rFonts w:eastAsia="MS Gothic" w:cs="Times New Roman"/>
          <w:color w:val="000000"/>
          <w:lang w:val="en-US"/>
        </w:rPr>
        <w:t>-strike and down-dip segmentations can be overcome in great 1960-style earthquakes</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(Moreno et al., 2018)</w:t>
      </w:r>
      <w:r w:rsidR="0055256A" w:rsidRPr="00044FDF">
        <w:rPr>
          <w:rFonts w:eastAsia="MS Gothic" w:cs="Times New Roman"/>
          <w:color w:val="000000"/>
          <w:lang w:val="en-US"/>
        </w:rPr>
        <w:t xml:space="preserve"> </w:t>
      </w:r>
      <w:r w:rsidR="0055256A" w:rsidRPr="00C27413">
        <w:rPr>
          <w:rFonts w:eastAsia="MS Gothic" w:cs="Times New Roman"/>
          <w:color w:val="000000"/>
          <w:lang w:val="en-US"/>
        </w:rPr>
        <w:t>causing giant trans-</w:t>
      </w:r>
      <w:r w:rsidR="00D117B9" w:rsidRPr="00C27413">
        <w:rPr>
          <w:rFonts w:eastAsia="MS Gothic" w:cs="Times New Roman"/>
          <w:color w:val="000000"/>
          <w:lang w:val="en-US"/>
        </w:rPr>
        <w:t xml:space="preserve">Pacific </w:t>
      </w:r>
      <w:r w:rsidR="0055256A" w:rsidRPr="00C27413">
        <w:rPr>
          <w:rFonts w:eastAsia="MS Gothic" w:cs="Times New Roman"/>
          <w:color w:val="000000"/>
          <w:lang w:val="en-US"/>
        </w:rPr>
        <w:t>tsunami</w:t>
      </w:r>
      <w:r w:rsidR="00D117B9" w:rsidRPr="00C27413">
        <w:rPr>
          <w:rFonts w:eastAsia="MS Gothic" w:cs="Times New Roman"/>
          <w:color w:val="000000"/>
          <w:lang w:val="en-US"/>
        </w:rPr>
        <w:t>s</w:t>
      </w:r>
      <w:r w:rsidR="0055256A" w:rsidRPr="00BD2FEF">
        <w:rPr>
          <w:rFonts w:eastAsia="MS Gothic" w:cs="Times New Roman"/>
          <w:color w:val="000000"/>
          <w:lang w:val="en-US"/>
        </w:rPr>
        <w:t xml:space="preserve">. </w:t>
      </w:r>
    </w:p>
    <w:p w14:paraId="29488BD1" w14:textId="70ADA8C3" w:rsidR="0055256A" w:rsidRPr="00044FDF" w:rsidRDefault="0055256A" w:rsidP="000054FC">
      <w:pPr>
        <w:rPr>
          <w:rFonts w:eastAsia="MS Gothic" w:cs="Times New Roman"/>
          <w:color w:val="000000"/>
          <w:lang w:val="en-US"/>
        </w:rPr>
      </w:pPr>
      <w:r w:rsidRPr="00044FDF">
        <w:rPr>
          <w:rFonts w:eastAsia="MS Gothic" w:cs="Times New Roman"/>
          <w:color w:val="000000"/>
          <w:lang w:val="en-US"/>
        </w:rPr>
        <w:t>Further variations in tsunami generation</w:t>
      </w:r>
      <w:r w:rsidR="00411D55" w:rsidRPr="00044FDF">
        <w:rPr>
          <w:rFonts w:eastAsia="MS Gothic" w:cs="Times New Roman"/>
          <w:color w:val="000000"/>
          <w:lang w:val="en-US"/>
        </w:rPr>
        <w:t xml:space="preserve"> could stem from splay fault rupture</w:t>
      </w:r>
      <w:r w:rsidRPr="00044FDF">
        <w:rPr>
          <w:rFonts w:eastAsia="MS Gothic" w:cs="Times New Roman"/>
          <w:color w:val="000000"/>
          <w:lang w:val="en-US"/>
        </w:rPr>
        <w:t>s</w:t>
      </w:r>
      <w:r w:rsidR="00411D55" w:rsidRPr="00044FDF">
        <w:rPr>
          <w:rFonts w:eastAsia="MS Gothic" w:cs="Times New Roman"/>
          <w:color w:val="000000"/>
          <w:lang w:val="en-US"/>
        </w:rPr>
        <w:t>, which have been documented on the Chilean subduction zone</w:t>
      </w:r>
      <w:r w:rsidR="009B7D93" w:rsidRPr="00044FDF">
        <w:rPr>
          <w:rFonts w:eastAsia="MS Gothic" w:cs="Times New Roman"/>
          <w:color w:val="000000"/>
          <w:lang w:val="en-US"/>
        </w:rPr>
        <w:t xml:space="preserve"> around Santa Maria Island</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(Melnick et al., 2012)</w:t>
      </w:r>
      <w:r w:rsidR="00411D55" w:rsidRPr="00C27413">
        <w:rPr>
          <w:rFonts w:eastAsia="MS Gothic" w:cs="Times New Roman"/>
          <w:color w:val="000000"/>
          <w:lang w:val="en-US"/>
        </w:rPr>
        <w:t>, and which tend to be very tsunamigenic</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(Moore et al., 2007)</w:t>
      </w:r>
      <w:r w:rsidR="00411D55" w:rsidRPr="00C27413">
        <w:rPr>
          <w:rFonts w:eastAsia="MS Gothic" w:cs="Times New Roman"/>
          <w:color w:val="000000"/>
          <w:lang w:val="en-US"/>
        </w:rPr>
        <w:t>.</w:t>
      </w:r>
      <w:r w:rsidRPr="00C27413">
        <w:rPr>
          <w:rFonts w:eastAsia="MS Gothic" w:cs="Times New Roman"/>
          <w:color w:val="000000"/>
          <w:lang w:val="en-US"/>
        </w:rPr>
        <w:t xml:space="preserve"> Tsunami earthquakes that rupture only the most up-dip zone of the megathrust with comparatively low magnitude but high tsunamigenic potential like the 2010 Men</w:t>
      </w:r>
      <w:r w:rsidRPr="00044FDF">
        <w:rPr>
          <w:rFonts w:eastAsia="MS Gothic" w:cs="Times New Roman"/>
          <w:color w:val="000000"/>
          <w:lang w:val="en-US"/>
        </w:rPr>
        <w:t>tawai rupture on the Sunda Arc</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(Lay et al., 2011)</w:t>
      </w:r>
      <w:r w:rsidRPr="00C27413">
        <w:rPr>
          <w:rFonts w:eastAsia="MS Gothic" w:cs="Times New Roman"/>
          <w:color w:val="000000"/>
          <w:lang w:val="en-US"/>
        </w:rPr>
        <w:t xml:space="preserve"> have not been recorded on the Chilean subduction zone</w:t>
      </w:r>
      <w:r w:rsidRPr="00044FDF">
        <w:rPr>
          <w:rFonts w:eastAsia="MS Gothic" w:cs="Times New Roman"/>
          <w:color w:val="000000"/>
          <w:lang w:val="en-US"/>
        </w:rPr>
        <w:t xml:space="preserve"> so far.</w:t>
      </w:r>
      <w:r w:rsidR="003A2716" w:rsidRPr="00044FDF">
        <w:rPr>
          <w:rFonts w:eastAsia="MS Gothic" w:cs="Times New Roman"/>
          <w:color w:val="000000"/>
          <w:lang w:val="en-US"/>
        </w:rPr>
        <w:t xml:space="preserve"> </w:t>
      </w:r>
      <w:r w:rsidRPr="00044FDF">
        <w:rPr>
          <w:rFonts w:eastAsia="MS Gothic" w:cs="Times New Roman"/>
          <w:color w:val="000000"/>
          <w:lang w:val="en-US"/>
        </w:rPr>
        <w:t xml:space="preserve">We interpret the varying and possibly complex recurrence patterns of each of these processes on or near the megathrust </w:t>
      </w:r>
      <w:r w:rsidR="003A2716" w:rsidRPr="00044FDF">
        <w:rPr>
          <w:rFonts w:eastAsia="MS Gothic" w:cs="Times New Roman"/>
          <w:color w:val="000000"/>
          <w:lang w:val="en-US"/>
        </w:rPr>
        <w:t xml:space="preserve">to control the overall bimodal recurrence pattern of tsunamis that inundated Lake Huelde. </w:t>
      </w:r>
    </w:p>
    <w:p w14:paraId="6B66B8B3" w14:textId="6A06D8A5" w:rsidR="006E649D" w:rsidRPr="00044FDF" w:rsidRDefault="006E649D" w:rsidP="000054FC">
      <w:pPr>
        <w:rPr>
          <w:rFonts w:eastAsia="MS Gothic" w:cs="Times New Roman"/>
          <w:color w:val="000000"/>
          <w:lang w:val="en-US"/>
        </w:rPr>
      </w:pPr>
      <w:r w:rsidRPr="00044FDF">
        <w:rPr>
          <w:rFonts w:eastAsia="MS Gothic" w:cs="Times New Roman"/>
          <w:color w:val="000000"/>
          <w:lang w:val="en-US"/>
        </w:rPr>
        <w:t>Classifying the earthquake of each tsunami deposit would allow an analysis of the recurrence patterns of separate rupture modes. However, additional paleoseismic information</w:t>
      </w:r>
      <w:r w:rsidR="007404CA" w:rsidRPr="00044FDF">
        <w:rPr>
          <w:rFonts w:eastAsia="MS Gothic" w:cs="Times New Roman"/>
          <w:color w:val="000000"/>
          <w:lang w:val="en-US"/>
        </w:rPr>
        <w:t xml:space="preserve"> needed to estimate</w:t>
      </w:r>
      <w:r w:rsidRPr="00044FDF">
        <w:rPr>
          <w:rFonts w:eastAsia="MS Gothic" w:cs="Times New Roman"/>
          <w:color w:val="000000"/>
          <w:lang w:val="en-US"/>
        </w:rPr>
        <w:t xml:space="preserve"> rupture width and length</w:t>
      </w:r>
      <w:r w:rsidR="003A2716" w:rsidRPr="00044FDF">
        <w:rPr>
          <w:rFonts w:eastAsia="MS Gothic" w:cs="Times New Roman"/>
          <w:color w:val="000000"/>
          <w:lang w:val="en-US"/>
        </w:rPr>
        <w:t>, location and</w:t>
      </w:r>
      <w:r w:rsidRPr="00044FDF">
        <w:rPr>
          <w:rFonts w:eastAsia="MS Gothic" w:cs="Times New Roman"/>
          <w:color w:val="000000"/>
          <w:lang w:val="en-US"/>
        </w:rPr>
        <w:t xml:space="preserve"> slip distribution would be needed</w:t>
      </w:r>
      <w:r w:rsidR="00D277F1" w:rsidRPr="00044FDF">
        <w:rPr>
          <w:rFonts w:eastAsia="MS Gothic" w:cs="Times New Roman"/>
          <w:color w:val="000000"/>
          <w:lang w:val="en-US"/>
        </w:rPr>
        <w:t xml:space="preserve"> for that</w:t>
      </w:r>
      <w:r w:rsidRPr="00044FDF">
        <w:rPr>
          <w:rFonts w:eastAsia="MS Gothic" w:cs="Times New Roman"/>
          <w:color w:val="000000"/>
          <w:lang w:val="en-US"/>
        </w:rPr>
        <w:t>. This information may be acquired by integrating this and other paleotsunami</w:t>
      </w:r>
      <w:r w:rsidR="00D277F1" w:rsidRPr="00044FDF">
        <w:rPr>
          <w:rFonts w:eastAsia="MS Gothic" w:cs="Times New Roman"/>
          <w:color w:val="000000"/>
          <w:lang w:val="en-US"/>
        </w:rPr>
        <w:t xml:space="preserve"> and paleoseismological</w:t>
      </w:r>
      <w:r w:rsidRPr="00044FDF">
        <w:rPr>
          <w:rFonts w:eastAsia="MS Gothic" w:cs="Times New Roman"/>
          <w:color w:val="000000"/>
          <w:lang w:val="en-US"/>
        </w:rPr>
        <w:t xml:space="preserve"> records with new long records of shaking and coastal deformation. </w:t>
      </w:r>
    </w:p>
    <w:p w14:paraId="79313C4B" w14:textId="05CA9361" w:rsidR="002B40FA" w:rsidRPr="00044FDF" w:rsidRDefault="002B40FA" w:rsidP="000054FC">
      <w:pPr>
        <w:pStyle w:val="Heading1"/>
        <w:rPr>
          <w:lang w:val="en-US"/>
        </w:rPr>
      </w:pPr>
      <w:r w:rsidRPr="00044FDF">
        <w:rPr>
          <w:lang w:val="en-US"/>
        </w:rPr>
        <w:t xml:space="preserve">Implications for </w:t>
      </w:r>
      <w:r w:rsidR="00225108" w:rsidRPr="00044FDF">
        <w:rPr>
          <w:lang w:val="en-US"/>
        </w:rPr>
        <w:t>hazard</w:t>
      </w:r>
      <w:r w:rsidRPr="00044FDF">
        <w:rPr>
          <w:lang w:val="en-US"/>
        </w:rPr>
        <w:t xml:space="preserve"> assessment</w:t>
      </w:r>
    </w:p>
    <w:p w14:paraId="6745A2A7" w14:textId="606A4C51" w:rsidR="002B40FA" w:rsidRPr="00BD2FEF" w:rsidRDefault="002B40FA" w:rsidP="000054FC">
      <w:pPr>
        <w:rPr>
          <w:rFonts w:eastAsia="MS Gothic" w:cs="Times New Roman"/>
          <w:color w:val="000000"/>
          <w:lang w:val="en-US"/>
        </w:rPr>
      </w:pPr>
      <w:r w:rsidRPr="00044FDF">
        <w:rPr>
          <w:rFonts w:eastAsia="MS Gothic" w:cs="Times New Roman"/>
          <w:color w:val="000000"/>
          <w:lang w:val="en-US"/>
        </w:rPr>
        <w:t>The mean recurrence time loses meaning for hazard assessment in face of strongly bimodal recurrence pattern</w:t>
      </w:r>
      <w:r w:rsidR="00225108" w:rsidRPr="00044FDF">
        <w:rPr>
          <w:rFonts w:eastAsia="MS Gothic" w:cs="Times New Roman"/>
          <w:color w:val="000000"/>
          <w:lang w:val="en-US"/>
        </w:rPr>
        <w:t>s</w:t>
      </w:r>
      <w:r w:rsidRPr="00044FDF">
        <w:rPr>
          <w:rFonts w:eastAsia="MS Gothic" w:cs="Times New Roman"/>
          <w:color w:val="000000"/>
          <w:lang w:val="en-US"/>
        </w:rPr>
        <w:t xml:space="preserve"> of tsunamigenic subduction zone earthquakes. In fact, in the case of tsunami inundation in Lake Huelde the mean is close to the anti-mode at 315 years, i.e. the least likely recurrence </w:t>
      </w:r>
      <w:r w:rsidRPr="00044FDF">
        <w:rPr>
          <w:rFonts w:eastAsia="MS Gothic" w:cs="Times New Roman"/>
          <w:lang w:val="en-US"/>
        </w:rPr>
        <w:t>time between the two modes. The</w:t>
      </w:r>
      <w:r w:rsidRPr="00044FDF">
        <w:rPr>
          <w:rFonts w:eastAsia="MS Gothic" w:cs="Times New Roman"/>
          <w:color w:val="000000"/>
          <w:lang w:val="en-US"/>
        </w:rPr>
        <w:t xml:space="preserve"> implications of the recurrence pattern are clear. The shortest recurrence period in Lake Huelde has a median of ~60 years. Similar to Moreno et al.</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(2011)</w:t>
      </w:r>
      <w:r w:rsidRPr="00044FDF">
        <w:rPr>
          <w:rFonts w:eastAsia="MS Gothic" w:cs="Times New Roman"/>
          <w:color w:val="000000"/>
          <w:lang w:val="en-US"/>
        </w:rPr>
        <w:t xml:space="preserve"> </w:t>
      </w:r>
      <w:r w:rsidRPr="00C27413">
        <w:rPr>
          <w:rFonts w:eastAsia="MS Gothic" w:cs="Times New Roman"/>
          <w:color w:val="000000"/>
          <w:lang w:val="en-US"/>
        </w:rPr>
        <w:t>and Moernaut et al.</w:t>
      </w:r>
      <w:r w:rsidR="00730A9F">
        <w:rPr>
          <w:rFonts w:eastAsia="MS Gothic" w:cs="Times New Roman"/>
          <w:color w:val="000000"/>
          <w:lang w:val="en-US"/>
        </w:rPr>
        <w:t xml:space="preserve"> </w:t>
      </w:r>
      <w:r w:rsidR="00730A9F" w:rsidRPr="00730A9F">
        <w:rPr>
          <w:rFonts w:eastAsia="MS Gothic" w:cs="Times New Roman"/>
          <w:color w:val="4F81BD" w:themeColor="accent1"/>
          <w:lang w:val="en-US"/>
        </w:rPr>
        <w:t>(2018)</w:t>
      </w:r>
      <w:r w:rsidRPr="00C27413">
        <w:rPr>
          <w:rFonts w:eastAsia="MS Gothic" w:cs="Times New Roman"/>
          <w:color w:val="000000"/>
          <w:lang w:val="en-US"/>
        </w:rPr>
        <w:t>, we find in the Lake Huelde record that the subduction zone in south central Chile may already have the potential to produce a tsunamigenic earthquake</w:t>
      </w:r>
      <w:r w:rsidRPr="00BD2FEF">
        <w:rPr>
          <w:rFonts w:eastAsia="MS Gothic" w:cs="Times New Roman"/>
          <w:color w:val="000000"/>
          <w:lang w:val="en-US"/>
        </w:rPr>
        <w:t>.</w:t>
      </w:r>
    </w:p>
    <w:p w14:paraId="6BA1C561" w14:textId="22D30B6B" w:rsidR="006345AE" w:rsidRPr="00044FDF" w:rsidRDefault="006345AE" w:rsidP="000054FC">
      <w:pPr>
        <w:rPr>
          <w:rFonts w:eastAsia="MS Gothic" w:cs="Times New Roman"/>
          <w:color w:val="000000"/>
          <w:lang w:val="en-US"/>
        </w:rPr>
      </w:pPr>
      <w:r w:rsidRPr="00BD2FEF">
        <w:rPr>
          <w:rFonts w:eastAsia="MS Gothic" w:cs="Times New Roman"/>
          <w:color w:val="000000"/>
          <w:lang w:val="en-US"/>
        </w:rPr>
        <w:t>The probability of an event</w:t>
      </w:r>
      <w:r w:rsidRPr="00771039">
        <w:rPr>
          <w:rFonts w:eastAsia="MS Gothic" w:cs="Times New Roman"/>
          <w:color w:val="000000"/>
          <w:lang w:val="en-US"/>
        </w:rPr>
        <w:t xml:space="preserve"> in the next 50 years with the Lake Huelde record recurrence p</w:t>
      </w:r>
      <w:r w:rsidRPr="00044FDF">
        <w:rPr>
          <w:rFonts w:eastAsia="MS Gothic" w:cs="Times New Roman"/>
          <w:color w:val="000000"/>
          <w:lang w:val="en-US"/>
        </w:rPr>
        <w:t xml:space="preserve">attern is at 11.6%. This compares well to 14.4% when assuming Poissonian behavior with the mean derived from the Lake Huelde record and </w:t>
      </w:r>
      <w:r w:rsidR="005D7AAD" w:rsidRPr="00044FDF">
        <w:rPr>
          <w:rFonts w:eastAsia="MS Gothic" w:cs="Times New Roman"/>
          <w:color w:val="000000"/>
          <w:lang w:val="en-US"/>
        </w:rPr>
        <w:t xml:space="preserve">it </w:t>
      </w:r>
      <w:r w:rsidR="00BA08F3">
        <w:rPr>
          <w:rFonts w:eastAsia="MS Gothic" w:cs="Times New Roman"/>
          <w:color w:val="000000"/>
          <w:lang w:val="en-US"/>
        </w:rPr>
        <w:t>deviates from the</w:t>
      </w:r>
      <w:r w:rsidRPr="00044FDF">
        <w:rPr>
          <w:rFonts w:eastAsia="MS Gothic" w:cs="Times New Roman"/>
          <w:color w:val="000000"/>
          <w:lang w:val="en-US"/>
        </w:rPr>
        <w:t xml:space="preserve"> 5.6% when assuming a normal distribution with a mean and standard deviation </w:t>
      </w:r>
      <w:r w:rsidR="005D7AAD" w:rsidRPr="00044FDF">
        <w:rPr>
          <w:rFonts w:eastAsia="MS Gothic" w:cs="Times New Roman"/>
          <w:color w:val="000000"/>
          <w:lang w:val="en-US"/>
        </w:rPr>
        <w:t xml:space="preserve">derived </w:t>
      </w:r>
      <w:r w:rsidRPr="00044FDF">
        <w:rPr>
          <w:rFonts w:eastAsia="MS Gothic" w:cs="Times New Roman"/>
          <w:color w:val="000000"/>
          <w:lang w:val="en-US"/>
        </w:rPr>
        <w:t xml:space="preserve">from the Lake Huelde record. However, assuming no event occurs in the next 250 years, the probability for a tsunami in the next 50 years, i.e. in the period from 308 to 358 years after the last event, is much lower </w:t>
      </w:r>
      <w:r w:rsidR="00044FDF">
        <w:rPr>
          <w:rFonts w:eastAsia="MS Gothic" w:cs="Times New Roman"/>
          <w:color w:val="000000"/>
          <w:lang w:val="en-US"/>
        </w:rPr>
        <w:t>with</w:t>
      </w:r>
      <w:r w:rsidRPr="00044FDF">
        <w:rPr>
          <w:rFonts w:eastAsia="MS Gothic" w:cs="Times New Roman"/>
          <w:color w:val="000000"/>
          <w:lang w:val="en-US"/>
        </w:rPr>
        <w:t xml:space="preserve"> the Lake Huelde recurrence pattern at 5.2%</w:t>
      </w:r>
      <w:r w:rsidR="005D7AAD" w:rsidRPr="00044FDF">
        <w:rPr>
          <w:rFonts w:eastAsia="MS Gothic" w:cs="Times New Roman"/>
          <w:color w:val="000000"/>
          <w:lang w:val="en-US"/>
        </w:rPr>
        <w:t>, w</w:t>
      </w:r>
      <w:r w:rsidRPr="00044FDF">
        <w:rPr>
          <w:rFonts w:eastAsia="MS Gothic" w:cs="Times New Roman"/>
          <w:color w:val="000000"/>
          <w:lang w:val="en-US"/>
        </w:rPr>
        <w:t xml:space="preserve">hich in turn is much lower than the probabilities for a tsunami in the same period for a </w:t>
      </w:r>
      <w:r w:rsidR="005D7AAD" w:rsidRPr="00044FDF">
        <w:rPr>
          <w:rFonts w:eastAsia="MS Gothic" w:cs="Times New Roman"/>
          <w:color w:val="000000"/>
          <w:lang w:val="en-US"/>
        </w:rPr>
        <w:t>Poissonian process at 14.4% and a</w:t>
      </w:r>
      <w:r w:rsidR="00044FDF">
        <w:rPr>
          <w:rFonts w:eastAsia="MS Gothic" w:cs="Times New Roman"/>
          <w:color w:val="000000"/>
          <w:lang w:val="en-US"/>
        </w:rPr>
        <w:t xml:space="preserve"> </w:t>
      </w:r>
      <w:r w:rsidRPr="00044FDF">
        <w:rPr>
          <w:rFonts w:eastAsia="MS Gothic" w:cs="Times New Roman"/>
          <w:color w:val="000000"/>
          <w:lang w:val="en-US"/>
        </w:rPr>
        <w:t>normally distributed process at 17.7</w:t>
      </w:r>
      <w:r w:rsidR="005D7AAD" w:rsidRPr="00044FDF">
        <w:rPr>
          <w:rFonts w:eastAsia="MS Gothic" w:cs="Times New Roman"/>
          <w:color w:val="000000"/>
          <w:lang w:val="en-US"/>
        </w:rPr>
        <w:t>%.</w:t>
      </w:r>
    </w:p>
    <w:p w14:paraId="6C00E9CD" w14:textId="72E9DE56" w:rsidR="006E6D2A" w:rsidRPr="00C27413" w:rsidRDefault="00B425D4" w:rsidP="000054FC">
      <w:pPr>
        <w:rPr>
          <w:rFonts w:cs="Times New Roman"/>
          <w:szCs w:val="24"/>
          <w:lang w:val="en-US"/>
        </w:rPr>
      </w:pPr>
      <w:r w:rsidRPr="00044FDF">
        <w:rPr>
          <w:rFonts w:eastAsia="MS Gothic" w:cs="Times New Roman"/>
          <w:color w:val="000000"/>
          <w:lang w:val="en-US"/>
        </w:rPr>
        <w:t xml:space="preserve">In terms of </w:t>
      </w:r>
      <w:r w:rsidR="00840276" w:rsidRPr="00044FDF">
        <w:rPr>
          <w:rFonts w:eastAsia="MS Gothic" w:cs="Times New Roman"/>
          <w:color w:val="000000"/>
          <w:lang w:val="en-US"/>
        </w:rPr>
        <w:t>hazard</w:t>
      </w:r>
      <w:r w:rsidRPr="00044FDF">
        <w:rPr>
          <w:rFonts w:eastAsia="MS Gothic" w:cs="Times New Roman"/>
          <w:color w:val="000000"/>
          <w:lang w:val="en-US"/>
        </w:rPr>
        <w:t xml:space="preserve"> assessment and </w:t>
      </w:r>
      <w:r w:rsidR="008202A8" w:rsidRPr="00044FDF">
        <w:rPr>
          <w:rFonts w:eastAsia="MS Gothic" w:cs="Times New Roman"/>
          <w:color w:val="000000"/>
          <w:lang w:val="en-US"/>
        </w:rPr>
        <w:t xml:space="preserve">risk </w:t>
      </w:r>
      <w:r w:rsidRPr="00044FDF">
        <w:rPr>
          <w:rFonts w:eastAsia="MS Gothic" w:cs="Times New Roman"/>
          <w:color w:val="000000"/>
          <w:lang w:val="en-US"/>
        </w:rPr>
        <w:t>management</w:t>
      </w:r>
      <w:r w:rsidR="008202A8" w:rsidRPr="00044FDF">
        <w:rPr>
          <w:rFonts w:eastAsia="MS Gothic" w:cs="Times New Roman"/>
          <w:color w:val="000000"/>
          <w:lang w:val="en-US"/>
        </w:rPr>
        <w:t xml:space="preserve"> in south central Chile</w:t>
      </w:r>
      <w:r w:rsidRPr="00044FDF">
        <w:rPr>
          <w:rFonts w:eastAsia="MS Gothic" w:cs="Times New Roman"/>
          <w:color w:val="000000"/>
          <w:lang w:val="en-US"/>
        </w:rPr>
        <w:t xml:space="preserve">, we would argue against the current best practice to </w:t>
      </w:r>
      <w:r w:rsidRPr="00044FDF">
        <w:rPr>
          <w:rFonts w:cs="Times New Roman"/>
          <w:szCs w:val="24"/>
          <w:lang w:val="en-US"/>
        </w:rPr>
        <w:t xml:space="preserve">report mean inter-event periods as a measure for tsunami </w:t>
      </w:r>
      <w:r w:rsidR="00840276" w:rsidRPr="00044FDF">
        <w:rPr>
          <w:rFonts w:cs="Times New Roman"/>
          <w:szCs w:val="24"/>
          <w:lang w:val="en-US"/>
        </w:rPr>
        <w:t>hazard</w:t>
      </w:r>
      <w:r w:rsidRPr="00044FDF">
        <w:rPr>
          <w:rFonts w:cs="Times New Roman"/>
          <w:szCs w:val="24"/>
          <w:lang w:val="en-US"/>
        </w:rPr>
        <w:t xml:space="preserve">. </w:t>
      </w:r>
      <w:r w:rsidR="00A02FFB" w:rsidRPr="00044FDF">
        <w:rPr>
          <w:rFonts w:cs="Times New Roman"/>
          <w:szCs w:val="24"/>
          <w:lang w:val="en-US"/>
        </w:rPr>
        <w:t>Considering that many subduction zones lack sufficient evidence for simple recurrence patterns, i</w:t>
      </w:r>
      <w:r w:rsidR="006E6D2A" w:rsidRPr="00044FDF">
        <w:rPr>
          <w:rFonts w:cs="Times New Roman"/>
          <w:szCs w:val="24"/>
          <w:lang w:val="en-US"/>
        </w:rPr>
        <w:t>t shou</w:t>
      </w:r>
      <w:r w:rsidR="003A2716" w:rsidRPr="00044FDF">
        <w:rPr>
          <w:rFonts w:cs="Times New Roman"/>
          <w:szCs w:val="24"/>
          <w:lang w:val="en-US"/>
        </w:rPr>
        <w:t>ld be best practice in any</w:t>
      </w:r>
      <w:r w:rsidR="006E6D2A" w:rsidRPr="00044FDF">
        <w:rPr>
          <w:rFonts w:cs="Times New Roman"/>
          <w:szCs w:val="24"/>
          <w:lang w:val="en-US"/>
        </w:rPr>
        <w:t xml:space="preserve"> region t</w:t>
      </w:r>
      <w:r w:rsidR="003A2716" w:rsidRPr="00044FDF">
        <w:rPr>
          <w:rFonts w:cs="Times New Roman"/>
          <w:szCs w:val="24"/>
          <w:lang w:val="en-US"/>
        </w:rPr>
        <w:t xml:space="preserve">o express </w:t>
      </w:r>
      <w:r w:rsidR="006E6D2A" w:rsidRPr="00044FDF">
        <w:rPr>
          <w:rFonts w:cs="Times New Roman"/>
          <w:szCs w:val="24"/>
          <w:lang w:val="en-US"/>
        </w:rPr>
        <w:t xml:space="preserve">mean inter-event periods with an assessment of the most likely underlying process </w:t>
      </w:r>
      <w:r w:rsidR="006E6D2A" w:rsidRPr="00044FDF">
        <w:rPr>
          <w:rFonts w:cs="Times New Roman"/>
          <w:szCs w:val="24"/>
          <w:lang w:val="en-US"/>
        </w:rPr>
        <w:lastRenderedPageBreak/>
        <w:t>distribution, e.g. subduction zone earthquakes occur periodically with a mean inter-event period of 5</w:t>
      </w:r>
      <w:r w:rsidR="00D509F3" w:rsidRPr="00044FDF">
        <w:rPr>
          <w:rFonts w:cs="Times New Roman"/>
          <w:szCs w:val="24"/>
          <w:lang w:val="en-US"/>
        </w:rPr>
        <w:t>94</w:t>
      </w:r>
      <w:r w:rsidR="006E6D2A" w:rsidRPr="00044FDF">
        <w:rPr>
          <w:rFonts w:cs="Times New Roman"/>
          <w:szCs w:val="24"/>
          <w:lang w:val="en-US"/>
        </w:rPr>
        <w:t xml:space="preserve"> ± </w:t>
      </w:r>
      <w:r w:rsidR="008942C0" w:rsidRPr="00044FDF">
        <w:rPr>
          <w:rFonts w:cs="Times New Roman"/>
          <w:szCs w:val="24"/>
          <w:lang w:val="en-US"/>
        </w:rPr>
        <w:t>156</w:t>
      </w:r>
      <w:r w:rsidR="006E6D2A" w:rsidRPr="00044FDF">
        <w:rPr>
          <w:rFonts w:cs="Times New Roman"/>
          <w:szCs w:val="24"/>
          <w:lang w:val="en-US"/>
        </w:rPr>
        <w:t xml:space="preserve"> years in south Alaska</w:t>
      </w:r>
      <w:r w:rsidR="00730A9F">
        <w:rPr>
          <w:rFonts w:cs="Times New Roman"/>
          <w:szCs w:val="24"/>
          <w:lang w:val="en-US"/>
        </w:rPr>
        <w:t xml:space="preserve"> </w:t>
      </w:r>
      <w:r w:rsidR="00730A9F" w:rsidRPr="00730A9F">
        <w:rPr>
          <w:rFonts w:cs="Times New Roman"/>
          <w:color w:val="4F81BD" w:themeColor="accent1"/>
          <w:szCs w:val="24"/>
          <w:lang w:val="en-US"/>
        </w:rPr>
        <w:t>(Shennan et al., 2014)</w:t>
      </w:r>
      <w:r w:rsidR="006E6D2A" w:rsidRPr="00C27413">
        <w:rPr>
          <w:rFonts w:cs="Times New Roman"/>
          <w:szCs w:val="24"/>
          <w:lang w:val="en-US"/>
        </w:rPr>
        <w:t>.</w:t>
      </w:r>
    </w:p>
    <w:p w14:paraId="10051316" w14:textId="5DAEDC63" w:rsidR="00A02FFB" w:rsidRDefault="00A02FFB" w:rsidP="000054FC">
      <w:pPr>
        <w:rPr>
          <w:lang w:val="en-US"/>
        </w:rPr>
      </w:pPr>
      <w:r w:rsidRPr="00044FDF">
        <w:rPr>
          <w:lang w:val="en-US"/>
        </w:rPr>
        <w:t xml:space="preserve">The statistical exploration of the inter-event period data has shown that there are vast differences in </w:t>
      </w:r>
      <w:r w:rsidR="00AA6BDE" w:rsidRPr="00044FDF">
        <w:rPr>
          <w:lang w:val="en-US"/>
        </w:rPr>
        <w:t xml:space="preserve">the required number of inter-event periods </w:t>
      </w:r>
      <w:r w:rsidRPr="00044FDF">
        <w:rPr>
          <w:lang w:val="en-US"/>
        </w:rPr>
        <w:t>dependen</w:t>
      </w:r>
      <w:r w:rsidR="00E27CCF" w:rsidRPr="00044FDF">
        <w:rPr>
          <w:lang w:val="en-US"/>
        </w:rPr>
        <w:t>t</w:t>
      </w:r>
      <w:r w:rsidRPr="00044FDF">
        <w:rPr>
          <w:lang w:val="en-US"/>
        </w:rPr>
        <w:t xml:space="preserve"> on the underlying process. As we cannot know the underlying process from low sample size records, we would advise caution when deriving mean inter-event periods from a few inter-event periods. </w:t>
      </w:r>
      <w:r w:rsidR="00F330D9" w:rsidRPr="00044FDF">
        <w:rPr>
          <w:lang w:val="en-US"/>
        </w:rPr>
        <w:t xml:space="preserve">This conclusion can be expanded </w:t>
      </w:r>
      <w:r w:rsidR="00E27CCF" w:rsidRPr="00044FDF">
        <w:rPr>
          <w:lang w:val="en-US"/>
        </w:rPr>
        <w:t xml:space="preserve">geographically beyond south central Chile and </w:t>
      </w:r>
      <w:r w:rsidR="00F330D9" w:rsidRPr="00044FDF">
        <w:rPr>
          <w:lang w:val="en-US"/>
        </w:rPr>
        <w:t>t</w:t>
      </w:r>
      <w:r w:rsidR="00E27CCF" w:rsidRPr="00044FDF">
        <w:rPr>
          <w:lang w:val="en-US"/>
        </w:rPr>
        <w:t>o various recurring phenomena, because other processes than</w:t>
      </w:r>
      <w:r w:rsidR="00F330D9" w:rsidRPr="00044FDF">
        <w:rPr>
          <w:lang w:val="en-US"/>
        </w:rPr>
        <w:t xml:space="preserve"> tsunami</w:t>
      </w:r>
      <w:r w:rsidR="00E27CCF" w:rsidRPr="00044FDF">
        <w:rPr>
          <w:lang w:val="en-US"/>
        </w:rPr>
        <w:t>s</w:t>
      </w:r>
      <w:r w:rsidR="00F330D9" w:rsidRPr="00044FDF">
        <w:rPr>
          <w:lang w:val="en-US"/>
        </w:rPr>
        <w:t xml:space="preserve"> and large earthquakes behave this way. However, if the investigated process falls within the spectrum of recurrence patterns present</w:t>
      </w:r>
      <w:r w:rsidR="00EE2846" w:rsidRPr="00044FDF">
        <w:rPr>
          <w:lang w:val="en-US"/>
        </w:rPr>
        <w:t>ed</w:t>
      </w:r>
      <w:r w:rsidR="00F330D9" w:rsidRPr="00044FDF">
        <w:rPr>
          <w:lang w:val="en-US"/>
        </w:rPr>
        <w:t xml:space="preserve"> here </w:t>
      </w:r>
      <w:r w:rsidR="00F330D9" w:rsidRPr="00044FDF">
        <w:rPr>
          <w:color w:val="C00000"/>
          <w:lang w:val="en-US"/>
        </w:rPr>
        <w:t>(Fig. 4a)</w:t>
      </w:r>
      <w:r w:rsidR="00F330D9" w:rsidRPr="00044FDF">
        <w:rPr>
          <w:lang w:val="en-US"/>
        </w:rPr>
        <w:t xml:space="preserve">, then the prerequisites for a robust recurrence pattern analysis are i) good age control, ii) a stable sensitivity of the record to be impacted by and preserve traces of the event, iii) continuity in the record, and finally iv) a </w:t>
      </w:r>
      <w:r w:rsidR="00EE2846" w:rsidRPr="00044FDF">
        <w:rPr>
          <w:lang w:val="en-US"/>
        </w:rPr>
        <w:t>sufficient</w:t>
      </w:r>
      <w:r w:rsidR="00F330D9" w:rsidRPr="00044FDF">
        <w:rPr>
          <w:lang w:val="en-US"/>
        </w:rPr>
        <w:t xml:space="preserve"> sample size</w:t>
      </w:r>
      <w:r w:rsidR="009C1707" w:rsidRPr="00044FDF">
        <w:rPr>
          <w:lang w:val="en-US"/>
        </w:rPr>
        <w:t xml:space="preserve"> given the expected underlying process</w:t>
      </w:r>
      <w:r w:rsidR="00EE2846" w:rsidRPr="00044FDF">
        <w:rPr>
          <w:lang w:val="en-US"/>
        </w:rPr>
        <w:t>.</w:t>
      </w:r>
    </w:p>
    <w:p w14:paraId="69CAD5CB" w14:textId="1FF773B7" w:rsidR="007945B4" w:rsidRPr="00044FDF" w:rsidRDefault="007945B4" w:rsidP="000054FC">
      <w:pPr>
        <w:pStyle w:val="Heading1"/>
        <w:rPr>
          <w:lang w:val="en-US"/>
        </w:rPr>
      </w:pPr>
      <w:r w:rsidRPr="00044FDF">
        <w:rPr>
          <w:lang w:val="en-US"/>
        </w:rPr>
        <w:t>Acknowledgements</w:t>
      </w:r>
    </w:p>
    <w:p w14:paraId="2578AE14" w14:textId="13CE2AE6" w:rsidR="007945B4" w:rsidRDefault="007945B4" w:rsidP="000054FC">
      <w:pPr>
        <w:rPr>
          <w:rFonts w:cs="Times New Roman"/>
          <w:lang w:val="en-US"/>
        </w:rPr>
      </w:pPr>
      <w:r w:rsidRPr="00044FDF">
        <w:rPr>
          <w:rFonts w:cs="Times New Roman"/>
          <w:lang w:val="en-US"/>
        </w:rPr>
        <w:t>PK acknowledges financial support by the Special Research Fund of Ghent University (BOF)</w:t>
      </w:r>
      <w:r w:rsidR="00D277F1" w:rsidRPr="00044FDF">
        <w:rPr>
          <w:rFonts w:cs="Times New Roman"/>
          <w:lang w:val="en-US"/>
        </w:rPr>
        <w:t>.</w:t>
      </w:r>
      <w:r w:rsidRPr="00044FDF">
        <w:rPr>
          <w:rFonts w:cs="Times New Roman"/>
          <w:lang w:val="en-US"/>
        </w:rPr>
        <w:t xml:space="preserve"> </w:t>
      </w:r>
      <w:r w:rsidR="00EE2846" w:rsidRPr="00044FDF">
        <w:rPr>
          <w:rFonts w:cs="Times New Roman"/>
          <w:lang w:val="en-US"/>
        </w:rPr>
        <w:t xml:space="preserve">We thank Mario Pino and Roberto Urrutia for facilitating the </w:t>
      </w:r>
      <w:r w:rsidR="000C6566" w:rsidRPr="00044FDF">
        <w:rPr>
          <w:rFonts w:cs="Times New Roman"/>
          <w:lang w:val="en-US"/>
        </w:rPr>
        <w:t xml:space="preserve">fieldwork; we thank Koen De Rycker, </w:t>
      </w:r>
      <w:r w:rsidR="00EE2846" w:rsidRPr="00044FDF">
        <w:rPr>
          <w:rFonts w:cs="Times New Roman"/>
          <w:lang w:val="en-US"/>
        </w:rPr>
        <w:t>Maar</w:t>
      </w:r>
      <w:r w:rsidR="000C6566" w:rsidRPr="00044FDF">
        <w:rPr>
          <w:rFonts w:cs="Times New Roman"/>
          <w:lang w:val="en-US"/>
        </w:rPr>
        <w:t>ten Van Daele, Willem Vandoorne</w:t>
      </w:r>
      <w:r w:rsidR="00EE2846" w:rsidRPr="00044FDF">
        <w:rPr>
          <w:rFonts w:cs="Times New Roman"/>
          <w:lang w:val="en-US"/>
        </w:rPr>
        <w:t xml:space="preserve"> and Gauvain Wiemer for help during fieldwork</w:t>
      </w:r>
      <w:r w:rsidR="000C6566" w:rsidRPr="00044FDF">
        <w:rPr>
          <w:rFonts w:cs="Times New Roman"/>
          <w:lang w:val="en-US"/>
        </w:rPr>
        <w:t>. And we thank</w:t>
      </w:r>
      <w:r w:rsidR="00EE2846" w:rsidRPr="00044FDF">
        <w:rPr>
          <w:rFonts w:cs="Times New Roman"/>
          <w:lang w:val="en-US"/>
        </w:rPr>
        <w:t xml:space="preserve"> Maarten Van Daele for </w:t>
      </w:r>
      <w:r w:rsidR="000C6566" w:rsidRPr="00044FDF">
        <w:rPr>
          <w:rFonts w:cs="Times New Roman"/>
          <w:lang w:val="en-US"/>
        </w:rPr>
        <w:t xml:space="preserve">fruitful </w:t>
      </w:r>
      <w:r w:rsidR="00EE2846" w:rsidRPr="00044FDF">
        <w:rPr>
          <w:rFonts w:cs="Times New Roman"/>
          <w:lang w:val="en-US"/>
        </w:rPr>
        <w:t xml:space="preserve">discussions. </w:t>
      </w:r>
      <w:r w:rsidR="00BA08F3">
        <w:rPr>
          <w:rFonts w:cs="Times New Roman"/>
          <w:lang w:val="en-US"/>
        </w:rPr>
        <w:t>We also thank two anonymous reviewers for their valuable input.</w:t>
      </w:r>
    </w:p>
    <w:p w14:paraId="51A13658" w14:textId="461E4C83" w:rsidR="00FB1ABC" w:rsidRDefault="00FB1ABC" w:rsidP="000054FC">
      <w:pPr>
        <w:pStyle w:val="Heading1"/>
        <w:rPr>
          <w:lang w:val="en-US"/>
        </w:rPr>
      </w:pPr>
      <w:r w:rsidRPr="00044FDF">
        <w:rPr>
          <w:lang w:val="en-US"/>
        </w:rPr>
        <w:t>References</w:t>
      </w:r>
    </w:p>
    <w:p w14:paraId="56FFDABC" w14:textId="77777777" w:rsidR="005524B6" w:rsidRPr="005524B6" w:rsidRDefault="005524B6" w:rsidP="000054FC">
      <w:pPr>
        <w:ind w:left="567" w:hanging="567"/>
        <w:rPr>
          <w:lang w:val="en-US"/>
        </w:rPr>
      </w:pPr>
      <w:r w:rsidRPr="005524B6">
        <w:rPr>
          <w:lang w:val="en-US"/>
        </w:rPr>
        <w:t>Ascher, S., 1990, A survey of tests for exponentiality, Communications in Statistics - Theory and Methods, 19, no. 5, 1811–1825, doi: 10.1080/03610929008830292.</w:t>
      </w:r>
    </w:p>
    <w:p w14:paraId="3077427A" w14:textId="77777777" w:rsidR="005524B6" w:rsidRPr="005524B6" w:rsidRDefault="005524B6" w:rsidP="000054FC">
      <w:pPr>
        <w:ind w:left="567" w:hanging="567"/>
        <w:rPr>
          <w:lang w:val="en-US"/>
        </w:rPr>
      </w:pPr>
      <w:r w:rsidRPr="005524B6">
        <w:rPr>
          <w:lang w:val="en-US"/>
        </w:rPr>
        <w:t>Berryman, K. R., U. A. Cochran, K. J. Clark, G. P. Biasi, R. M. Langridge, and P. Villamor, 2012, Major Earthquakes Occur Regularly on an Isolated Plate Boundary Fault, Science, 336, no. 6089, 1690–1693, doi: 10.1126/science.1218959.</w:t>
      </w:r>
    </w:p>
    <w:p w14:paraId="6A3E168A" w14:textId="77777777" w:rsidR="005524B6" w:rsidRPr="005524B6" w:rsidRDefault="005524B6" w:rsidP="000054FC">
      <w:pPr>
        <w:ind w:left="567" w:hanging="567"/>
        <w:rPr>
          <w:lang w:val="en-US"/>
        </w:rPr>
      </w:pPr>
      <w:r w:rsidRPr="005524B6">
        <w:rPr>
          <w:lang w:val="en-US"/>
        </w:rPr>
        <w:t>Blaauw, M., and J. A. Christen, 2011, Flexible Paleoclimate Age-Depth Models Using an Autoregressive Gamma Process, Bayesian Analysis, 6, no. 3, 457–474, doi: 10.1214/11-BA618.</w:t>
      </w:r>
    </w:p>
    <w:p w14:paraId="6AF38C43" w14:textId="77777777" w:rsidR="005524B6" w:rsidRPr="005524B6" w:rsidRDefault="005524B6" w:rsidP="000054FC">
      <w:pPr>
        <w:ind w:left="567" w:hanging="567"/>
        <w:rPr>
          <w:lang w:val="en-US"/>
        </w:rPr>
      </w:pPr>
      <w:r w:rsidRPr="005524B6">
        <w:rPr>
          <w:lang w:val="en-US"/>
        </w:rPr>
        <w:t>Bronk Ramsey, C., 2008, Deposition models for chronological records, Quaternary Science Reviews, 27, nos. 1–2, 42–60, doi: 10.1016/j.quascirev.2007.01.019.</w:t>
      </w:r>
    </w:p>
    <w:p w14:paraId="19D35159" w14:textId="2F7CF022" w:rsidR="005524B6" w:rsidRPr="005524B6" w:rsidRDefault="005524B6" w:rsidP="000054FC">
      <w:pPr>
        <w:ind w:left="567" w:hanging="567"/>
        <w:rPr>
          <w:lang w:val="en-US"/>
        </w:rPr>
      </w:pPr>
      <w:r w:rsidRPr="005524B6">
        <w:rPr>
          <w:lang w:val="en-US"/>
        </w:rPr>
        <w:t>Bürgmann, R., M. G. Kogan, G. M. Steblov, G. Hilley, V. E. Levin, and E. Apel, 2005, Interseismic coupling and asperity distribution along the Kamchatka subduction zone, Journal of Geophysical Research: Solid Earth, 110, no. B7, doi: 10.1029/2005JB003648.</w:t>
      </w:r>
    </w:p>
    <w:p w14:paraId="5AE4723C" w14:textId="77777777" w:rsidR="005524B6" w:rsidRPr="005524B6" w:rsidRDefault="005524B6" w:rsidP="000054FC">
      <w:pPr>
        <w:ind w:left="567" w:hanging="567"/>
        <w:rPr>
          <w:lang w:val="en-US"/>
        </w:rPr>
      </w:pPr>
      <w:r w:rsidRPr="005524B6">
        <w:rPr>
          <w:lang w:val="en-US"/>
        </w:rPr>
        <w:t>Chlieh, M., J. P. Avouac, K. Sieh, D. H. Natawidjaja, and J. Galetzka, 2008, Heterogeneous coupling of the Sumatran megathrust constrained by geodetic and paleogeodetic measurements, Journal of Geophysical Research: Solid Earth, 113, no. B5, doi: 10.1029/2007JB004981.</w:t>
      </w:r>
    </w:p>
    <w:p w14:paraId="08FF5CC3" w14:textId="77777777" w:rsidR="005524B6" w:rsidRPr="005524B6" w:rsidRDefault="005524B6" w:rsidP="000054FC">
      <w:pPr>
        <w:ind w:left="567" w:hanging="567"/>
        <w:rPr>
          <w:lang w:val="en-US"/>
        </w:rPr>
      </w:pPr>
      <w:r w:rsidRPr="005524B6">
        <w:rPr>
          <w:lang w:val="en-US"/>
        </w:rPr>
        <w:t>Cifuentes, I. L., 1989, The 1960 Chilean Earthquakes, Journal of Geophysical Research, 94, no. B1, 665–680, doi: https://doi.org/10.1029/JB094iB01p00665.</w:t>
      </w:r>
    </w:p>
    <w:p w14:paraId="47966D12" w14:textId="77777777" w:rsidR="005524B6" w:rsidRPr="005524B6" w:rsidRDefault="005524B6" w:rsidP="000054FC">
      <w:pPr>
        <w:ind w:left="567" w:hanging="567"/>
        <w:rPr>
          <w:lang w:val="en-US"/>
        </w:rPr>
      </w:pPr>
      <w:r w:rsidRPr="005524B6">
        <w:rPr>
          <w:lang w:val="en-US"/>
        </w:rPr>
        <w:lastRenderedPageBreak/>
        <w:t>Cisternas, M. et al., 2005, Predecessors of the giant 1960 Chile earthquake., Nature, 437, no. 7057, 404–407, doi: 10.1038/nature03943.</w:t>
      </w:r>
    </w:p>
    <w:p w14:paraId="70E32946" w14:textId="77777777" w:rsidR="005524B6" w:rsidRPr="005524B6" w:rsidRDefault="005524B6" w:rsidP="000054FC">
      <w:pPr>
        <w:ind w:left="567" w:hanging="567"/>
        <w:rPr>
          <w:lang w:val="en-US"/>
        </w:rPr>
      </w:pPr>
      <w:r w:rsidRPr="005524B6">
        <w:rPr>
          <w:lang w:val="en-US"/>
        </w:rPr>
        <w:t>Cisternas, M., E. Garrett, R. Wesson, T. Dura, and L. L. Ely, 2017, Unusual geologic evidence of coeval seismic shaking and tsunamis shows variability in earthquake size and recurrence in the area of the giant 1960 Chile earthquake, Marine Geology, 385, 101–113, doi: 10.1016/j.margeo.2016.12.007.</w:t>
      </w:r>
    </w:p>
    <w:p w14:paraId="55B3452F" w14:textId="77777777" w:rsidR="005524B6" w:rsidRPr="005524B6" w:rsidRDefault="005524B6" w:rsidP="000054FC">
      <w:pPr>
        <w:ind w:left="567" w:hanging="567"/>
        <w:rPr>
          <w:lang w:val="en-US"/>
        </w:rPr>
      </w:pPr>
      <w:r w:rsidRPr="005524B6">
        <w:rPr>
          <w:lang w:val="en-US"/>
        </w:rPr>
        <w:t>Cox, D. R., and P. Oakes, 1984, Analysis of Survival Data.</w:t>
      </w:r>
    </w:p>
    <w:p w14:paraId="5972057F" w14:textId="77777777" w:rsidR="005524B6" w:rsidRPr="005524B6" w:rsidRDefault="005524B6" w:rsidP="000054FC">
      <w:pPr>
        <w:ind w:left="567" w:hanging="567"/>
        <w:rPr>
          <w:lang w:val="en-US"/>
        </w:rPr>
      </w:pPr>
      <w:r w:rsidRPr="005524B6">
        <w:rPr>
          <w:lang w:val="en-US"/>
        </w:rPr>
        <w:t>Geist, E. L., and P. J. Lynett, 2014, Source Processes for the Probabilistic Assessment of Tsunami Hazards, Oceanography, 27, no. 2, 86–93, doi: 10.5670/oceanog.2014.43.</w:t>
      </w:r>
    </w:p>
    <w:p w14:paraId="0649C8C9" w14:textId="77777777" w:rsidR="005524B6" w:rsidRPr="005524B6" w:rsidRDefault="005524B6" w:rsidP="000054FC">
      <w:pPr>
        <w:ind w:left="567" w:hanging="567"/>
        <w:rPr>
          <w:lang w:val="en-US"/>
        </w:rPr>
      </w:pPr>
      <w:r w:rsidRPr="005524B6">
        <w:rPr>
          <w:lang w:val="en-US"/>
        </w:rPr>
        <w:t>Geist, E. L., and T. Parsons, 2006, Probabilistic Analysis of Tsunami Hazards*, Natural Hazards, 37, no. 3, 277–314, doi: 10.1007/s11069-005-4646-z.</w:t>
      </w:r>
    </w:p>
    <w:p w14:paraId="57A86CDB" w14:textId="77777777" w:rsidR="005524B6" w:rsidRPr="005524B6" w:rsidRDefault="005524B6" w:rsidP="000054FC">
      <w:pPr>
        <w:ind w:left="567" w:hanging="567"/>
        <w:rPr>
          <w:lang w:val="en-US"/>
        </w:rPr>
      </w:pPr>
      <w:r w:rsidRPr="005524B6">
        <w:rPr>
          <w:lang w:val="en-US"/>
        </w:rPr>
        <w:t>Goldfinger, C. et al., 2012, Turbidite Event History — Methods and Implications for Holocene Paleoseismicity of the Cascadia Subduction Zone, U.S. Geological Survey Professional Paper 1661-F, 170.</w:t>
      </w:r>
    </w:p>
    <w:p w14:paraId="73650358" w14:textId="77777777" w:rsidR="005524B6" w:rsidRPr="005524B6" w:rsidRDefault="005524B6" w:rsidP="000054FC">
      <w:pPr>
        <w:ind w:left="567" w:hanging="567"/>
        <w:rPr>
          <w:lang w:val="en-US"/>
        </w:rPr>
      </w:pPr>
      <w:r w:rsidRPr="005524B6">
        <w:rPr>
          <w:lang w:val="en-US"/>
        </w:rPr>
        <w:t>Goldfinger, C., Y. Ikeda, R. S. Yeats, and J. Ren, 2013, Superquakes and Supercycles, Seismological Research Letters, 84, no. 1, 24–32, doi: 10.1785/0220110135.</w:t>
      </w:r>
    </w:p>
    <w:p w14:paraId="053E357E" w14:textId="77777777" w:rsidR="005524B6" w:rsidRPr="005524B6" w:rsidRDefault="005524B6" w:rsidP="000054FC">
      <w:pPr>
        <w:ind w:left="567" w:hanging="567"/>
        <w:rPr>
          <w:lang w:val="en-US"/>
        </w:rPr>
      </w:pPr>
      <w:r w:rsidRPr="005524B6">
        <w:rPr>
          <w:lang w:val="en-US"/>
        </w:rPr>
        <w:t>Gomez, B., Á. Corral, A. R. Orpin, M. J. Page, H. Pouderoux, and P. Upton, 2015, Lake Tutira paleoseismic record confirms random, moderate to major and/or great Hawke’s Bay (New Zealand) earthquakes, Geology, 43, no. 2, 103–106, doi: https://doi.org/10.1130/G36006.1.</w:t>
      </w:r>
    </w:p>
    <w:p w14:paraId="3E96D341" w14:textId="77777777" w:rsidR="005524B6" w:rsidRPr="005524B6" w:rsidRDefault="005524B6" w:rsidP="000054FC">
      <w:pPr>
        <w:ind w:left="567" w:hanging="567"/>
        <w:rPr>
          <w:lang w:val="en-US"/>
        </w:rPr>
      </w:pPr>
      <w:r w:rsidRPr="005524B6">
        <w:rPr>
          <w:lang w:val="en-US"/>
        </w:rPr>
        <w:t>Herrendörfer, R., Y. van Dinther, T. Gerya, and L. A. Dalguer, 2015, Earthquake supercycle in subduction zones controlled by the width of the seismogenic zone, Nature Geoscience, 8, no. 6, 471–474.</w:t>
      </w:r>
    </w:p>
    <w:p w14:paraId="3B332C18" w14:textId="77777777" w:rsidR="005524B6" w:rsidRPr="005524B6" w:rsidRDefault="005524B6" w:rsidP="000054FC">
      <w:pPr>
        <w:ind w:left="567" w:hanging="567"/>
        <w:rPr>
          <w:lang w:val="en-US"/>
        </w:rPr>
      </w:pPr>
      <w:r w:rsidRPr="005524B6">
        <w:rPr>
          <w:lang w:val="en-US"/>
        </w:rPr>
        <w:t>Kelsey, H. M., A. R. Nelson, E. Hemphill-Haley, and R. C. Witter, 2005, Tsunami history of an Oregon coastal lake reveals a 4600 yr record of great earthquakes on the Cascadia subduction zone, Geological Society of America Bulletin, 117, no. 7, 1009–1032, doi: 10.1130/B25452.1.</w:t>
      </w:r>
    </w:p>
    <w:p w14:paraId="352F7980" w14:textId="77777777" w:rsidR="005524B6" w:rsidRPr="005524B6" w:rsidRDefault="005524B6" w:rsidP="000054FC">
      <w:pPr>
        <w:ind w:left="567" w:hanging="567"/>
        <w:rPr>
          <w:lang w:val="en-US"/>
        </w:rPr>
      </w:pPr>
      <w:r w:rsidRPr="005524B6">
        <w:rPr>
          <w:lang w:val="en-US"/>
        </w:rPr>
        <w:t>Kempf, P., J. Moernaut, M. Van Daele, W. Vandoorne, M. Pino, R. Urrutia, and M. De Batist, 2017, Coastal lake sediments reveal 5500 years of tsunami history in south central Chile, Quaternary Science Reviews, 161, 99–116, doi: http://doi.org/10.1016/j.quascirev.2017.02.018.</w:t>
      </w:r>
    </w:p>
    <w:p w14:paraId="7954E2BC" w14:textId="370CBB1E" w:rsidR="005524B6" w:rsidRPr="005524B6" w:rsidRDefault="005524B6" w:rsidP="000054FC">
      <w:pPr>
        <w:ind w:left="567" w:hanging="567"/>
        <w:rPr>
          <w:lang w:val="en-US"/>
        </w:rPr>
      </w:pPr>
      <w:r w:rsidRPr="005524B6">
        <w:rPr>
          <w:lang w:val="en-US"/>
        </w:rPr>
        <w:t xml:space="preserve">Kempf, P., J. Moernaut, M. Van Daele, F. Vermassen, W. Vandoorne, M. Pino, R. </w:t>
      </w:r>
      <w:r w:rsidR="00B84A50" w:rsidRPr="005524B6">
        <w:rPr>
          <w:lang w:val="en-US"/>
        </w:rPr>
        <w:t>Urrutia</w:t>
      </w:r>
      <w:r w:rsidRPr="005524B6">
        <w:rPr>
          <w:lang w:val="en-US"/>
        </w:rPr>
        <w:t>, S. Schmidt, E. Garrett, and M. De Batist, 2015, The sedimentary record of the 1960 tsunami in two coastal lakes on Isla de Chiloé, south central Chile, Sedimentary Geology, 328, 73–86, doi: 10.1016/j.sedgeo.2015.08.004.</w:t>
      </w:r>
    </w:p>
    <w:p w14:paraId="488B5230" w14:textId="77777777" w:rsidR="005524B6" w:rsidRPr="005524B6" w:rsidRDefault="005524B6" w:rsidP="000054FC">
      <w:pPr>
        <w:ind w:left="567" w:hanging="567"/>
        <w:rPr>
          <w:lang w:val="en-US"/>
        </w:rPr>
      </w:pPr>
      <w:r w:rsidRPr="005524B6">
        <w:rPr>
          <w:lang w:val="en-US"/>
        </w:rPr>
        <w:t>Kulkarni, R., I. Wong, J. Zachariasen, C. Goldfinger, and M. Lawrence, 2013, Statistical Analyses of Great Earthquake Recurrence along the Cascadia Subduction Zone, Bulletin of the Seismological Society of America, 103, no. 6, 3205–3221, doi: 10.1785/0120120105.</w:t>
      </w:r>
    </w:p>
    <w:p w14:paraId="23DCDA13" w14:textId="77777777" w:rsidR="005524B6" w:rsidRPr="005524B6" w:rsidRDefault="005524B6" w:rsidP="000054FC">
      <w:pPr>
        <w:ind w:left="567" w:hanging="567"/>
        <w:rPr>
          <w:lang w:val="en-US"/>
        </w:rPr>
      </w:pPr>
      <w:r w:rsidRPr="005524B6">
        <w:rPr>
          <w:lang w:val="en-US"/>
        </w:rPr>
        <w:lastRenderedPageBreak/>
        <w:t>Lay, T., C. J. Ammon, H. Kanamori, Y. Yamazaki, K. F. Cheung, and A. R. Hutko, 2011, The 25 October 2010 Mentawai tsunami earthquake (M w 7.8) and the tsunami hazard presented by shallow megathrust ruptures, Geophysical Research Letters, 38, no. 6, doi: 10.1029/2010GL046552.</w:t>
      </w:r>
    </w:p>
    <w:p w14:paraId="6AA6CE30" w14:textId="77777777" w:rsidR="005524B6" w:rsidRPr="005524B6" w:rsidRDefault="005524B6" w:rsidP="000054FC">
      <w:pPr>
        <w:ind w:left="567" w:hanging="567"/>
        <w:rPr>
          <w:lang w:val="en-US"/>
        </w:rPr>
      </w:pPr>
      <w:r w:rsidRPr="005524B6">
        <w:rPr>
          <w:lang w:val="en-US"/>
        </w:rPr>
        <w:t>Lomnitz, C., 1970, Major Earthquakes and Tsunamis in Chile during the period 1535 to 1955, Geologische Rundschau, 59, 938–960.</w:t>
      </w:r>
    </w:p>
    <w:p w14:paraId="1C40E5A0" w14:textId="77777777" w:rsidR="005524B6" w:rsidRPr="005524B6" w:rsidRDefault="005524B6" w:rsidP="000054FC">
      <w:pPr>
        <w:ind w:left="567" w:hanging="567"/>
        <w:rPr>
          <w:lang w:val="en-US"/>
        </w:rPr>
      </w:pPr>
      <w:r w:rsidRPr="005524B6">
        <w:rPr>
          <w:lang w:val="en-US"/>
        </w:rPr>
        <w:t>Lomnitz, C., 2004, Major Earthquakes of Chile: A Historical Survey, 1535-1960, Seismological Research Letters, 75, no. 3, 368–378, doi: 10.1785/gssrl.75.3.368.</w:t>
      </w:r>
    </w:p>
    <w:p w14:paraId="00B5EAF8" w14:textId="77777777" w:rsidR="005524B6" w:rsidRPr="005524B6" w:rsidRDefault="005524B6" w:rsidP="000054FC">
      <w:pPr>
        <w:ind w:left="567" w:hanging="567"/>
        <w:rPr>
          <w:lang w:val="en-US"/>
        </w:rPr>
      </w:pPr>
      <w:r w:rsidRPr="005524B6">
        <w:rPr>
          <w:lang w:val="en-US"/>
        </w:rPr>
        <w:t>McCaffrey, R., 2008, Global frequency of magnitude 9 earthquakes, Geology, 36, no. 3, 263–266, doi: 10.1130/G24402A.1.</w:t>
      </w:r>
    </w:p>
    <w:p w14:paraId="5E03D647" w14:textId="77777777" w:rsidR="005524B6" w:rsidRPr="005524B6" w:rsidRDefault="005524B6" w:rsidP="000054FC">
      <w:pPr>
        <w:ind w:left="567" w:hanging="567"/>
        <w:rPr>
          <w:lang w:val="en-US"/>
        </w:rPr>
      </w:pPr>
      <w:r w:rsidRPr="005524B6">
        <w:rPr>
          <w:lang w:val="en-US"/>
        </w:rPr>
        <w:t>Melnick, D., M. Moreno, M. Motagh, M. Cisternas, and R. L. Wesson, 2012, Splay fault slip during the Mw 8.8 2010 Maule Chile earthquake, Geology, 40, no. 3, 251–254.</w:t>
      </w:r>
    </w:p>
    <w:p w14:paraId="544045BF" w14:textId="77777777" w:rsidR="005524B6" w:rsidRPr="005524B6" w:rsidRDefault="005524B6" w:rsidP="000054FC">
      <w:pPr>
        <w:ind w:left="567" w:hanging="567"/>
        <w:rPr>
          <w:lang w:val="en-US"/>
        </w:rPr>
      </w:pPr>
      <w:r w:rsidRPr="005524B6">
        <w:rPr>
          <w:lang w:val="en-US"/>
        </w:rPr>
        <w:t>Moernaut, J., M. Van Daele, K. Fontijn, K. Heirman, P. Kempf, M. Pino, G. Valdebenito, R. Urrutia, M. Strasser, and M. De Batist, 2018, Larger earthquakes recur more periodically: New insights in the megathrust earthquake cycle from lacustrine turbidite records in south-central Chile, Earth and Planetary Science Letters, 481, 9–19, doi: https://doi.org/10.1016/j.epsl.2017.10.016.</w:t>
      </w:r>
    </w:p>
    <w:p w14:paraId="40C0A187" w14:textId="77777777" w:rsidR="005524B6" w:rsidRPr="005524B6" w:rsidRDefault="005524B6" w:rsidP="000054FC">
      <w:pPr>
        <w:ind w:left="567" w:hanging="567"/>
        <w:rPr>
          <w:lang w:val="en-US"/>
        </w:rPr>
      </w:pPr>
      <w:r w:rsidRPr="005524B6">
        <w:rPr>
          <w:lang w:val="en-US"/>
        </w:rPr>
        <w:t>Moernaut, J., M. Van Daele, K. Heirman, K. Fontijn, M. Strasser, M. Pino, R. Urrutia, and M. De Batist, 2014, Lacustrine turbidites as a tool for quantitative earthquake reconstruction: New evidence for a variable rupture mode in south central Chile, Journal of Geophysical Research: Solid Earth, 119, no. 3, 1607–1633, doi: 10.1002/2013JB010738.</w:t>
      </w:r>
    </w:p>
    <w:p w14:paraId="39019C86" w14:textId="77777777" w:rsidR="005524B6" w:rsidRPr="005524B6" w:rsidRDefault="005524B6" w:rsidP="000054FC">
      <w:pPr>
        <w:ind w:left="567" w:hanging="567"/>
        <w:rPr>
          <w:lang w:val="en-US"/>
        </w:rPr>
      </w:pPr>
      <w:r w:rsidRPr="005524B6">
        <w:rPr>
          <w:lang w:val="en-US"/>
        </w:rPr>
        <w:t>Moore, G. F., N. L. Bangs, A. Taira, S. Kuramoto, E. Pangborn, and H. J. Tobin, 2007, Three-Dimensional Splay Fault Geometry and Implications for Tsunami Generation, Science, 318, no. 5853, 1128–1131, doi: 10.1126/science.1147195.</w:t>
      </w:r>
    </w:p>
    <w:p w14:paraId="0DDE8A6A" w14:textId="77777777" w:rsidR="005524B6" w:rsidRPr="005524B6" w:rsidRDefault="005524B6" w:rsidP="000054FC">
      <w:pPr>
        <w:ind w:left="567" w:hanging="567"/>
        <w:rPr>
          <w:lang w:val="en-US"/>
        </w:rPr>
      </w:pPr>
      <w:r w:rsidRPr="005524B6">
        <w:rPr>
          <w:lang w:val="en-US"/>
        </w:rPr>
        <w:t>Moreno, M. et al., 2018, Chilean megathrust earthquake recurrence linked to frictional contrast at depth, Nature Geoscience, 11, no. 4, 285–290, doi: 10.1038/s41561-018-0089-5.</w:t>
      </w:r>
    </w:p>
    <w:p w14:paraId="2D70ADCB" w14:textId="77777777" w:rsidR="005524B6" w:rsidRPr="005524B6" w:rsidRDefault="005524B6" w:rsidP="000054FC">
      <w:pPr>
        <w:ind w:left="567" w:hanging="567"/>
        <w:rPr>
          <w:lang w:val="en-US"/>
        </w:rPr>
      </w:pPr>
      <w:r w:rsidRPr="005524B6">
        <w:rPr>
          <w:lang w:val="en-US"/>
        </w:rPr>
        <w:t>Moreno, M. et al., 2011, Heterogeneous plate locking in the South–Central Chile subduction zone: Building up the next great earthquake, Earth and Planetary Science Letters, 305, nos. 3–4, 413–424, doi: 10.1016/j.epsl.2011.03.025.</w:t>
      </w:r>
    </w:p>
    <w:p w14:paraId="56C821CE" w14:textId="77777777" w:rsidR="005524B6" w:rsidRPr="005524B6" w:rsidRDefault="005524B6" w:rsidP="000054FC">
      <w:pPr>
        <w:ind w:left="567" w:hanging="567"/>
        <w:rPr>
          <w:lang w:val="en-US"/>
        </w:rPr>
      </w:pPr>
      <w:r w:rsidRPr="005524B6">
        <w:rPr>
          <w:lang w:val="en-US"/>
        </w:rPr>
        <w:t>Moreno, M. S., J. Bolte, J. Klotz, and D. Melnick, 2009, Impact of megathrust geometry on inversion of coseismic slip from geodetic data: Application to the 1960 Chile earthquake, Geophysical Research Letters, 36, no. 16, L16310, doi: 10.1029/2009GL039276.</w:t>
      </w:r>
    </w:p>
    <w:p w14:paraId="56C5CC9A" w14:textId="77777777" w:rsidR="005524B6" w:rsidRPr="005524B6" w:rsidRDefault="005524B6" w:rsidP="000054FC">
      <w:pPr>
        <w:ind w:left="567" w:hanging="567"/>
        <w:rPr>
          <w:lang w:val="en-US"/>
        </w:rPr>
      </w:pPr>
      <w:r w:rsidRPr="005524B6">
        <w:rPr>
          <w:lang w:val="en-US"/>
        </w:rPr>
        <w:t xml:space="preserve">Nishenko, S. P., 1985, Seismic potential for large and great interplate earthquakes along the Chilean and Southern Peruvian Margins of South America: A </w:t>
      </w:r>
      <w:r w:rsidRPr="005524B6">
        <w:rPr>
          <w:lang w:val="en-US"/>
        </w:rPr>
        <w:lastRenderedPageBreak/>
        <w:t>quantitative reappraisal, Journal of Geophysical Research: Solid Earth, 90, no. B5, 3589–3615, doi: 10.1029/JB090iB05p03589.</w:t>
      </w:r>
    </w:p>
    <w:p w14:paraId="7D4717F1" w14:textId="77777777" w:rsidR="005524B6" w:rsidRPr="005524B6" w:rsidRDefault="005524B6" w:rsidP="000054FC">
      <w:pPr>
        <w:ind w:left="567" w:hanging="567"/>
        <w:rPr>
          <w:lang w:val="en-US"/>
        </w:rPr>
      </w:pPr>
      <w:r w:rsidRPr="005524B6">
        <w:rPr>
          <w:lang w:val="en-US"/>
        </w:rPr>
        <w:t>Novikov, A., R. Pusev, and M. Yakovlev, 2013, exptest: Tests for Exponentiality. R package version 1.2.</w:t>
      </w:r>
    </w:p>
    <w:p w14:paraId="2B6E7D40" w14:textId="77777777" w:rsidR="005524B6" w:rsidRPr="005524B6" w:rsidRDefault="005524B6" w:rsidP="000054FC">
      <w:pPr>
        <w:ind w:left="567" w:hanging="567"/>
        <w:rPr>
          <w:lang w:val="en-US"/>
        </w:rPr>
      </w:pPr>
      <w:r w:rsidRPr="005524B6">
        <w:rPr>
          <w:lang w:val="en-US"/>
        </w:rPr>
        <w:t xml:space="preserve">Philibosian, B. et al., 2017, Earthquake supercycles on the Mentawai segment of the </w:t>
      </w:r>
      <w:bookmarkStart w:id="1" w:name="_GoBack"/>
      <w:r w:rsidRPr="005524B6">
        <w:rPr>
          <w:lang w:val="en-US"/>
        </w:rPr>
        <w:t xml:space="preserve">Sunda megathrust in the seventeenth century and earlier, Journal of Geophysical </w:t>
      </w:r>
      <w:bookmarkEnd w:id="1"/>
      <w:r w:rsidRPr="005524B6">
        <w:rPr>
          <w:lang w:val="en-US"/>
        </w:rPr>
        <w:t>Research: Solid Earth, doi: 10.1002/2016JB013560.</w:t>
      </w:r>
    </w:p>
    <w:p w14:paraId="48C7CE1A" w14:textId="77777777" w:rsidR="005524B6" w:rsidRPr="005524B6" w:rsidRDefault="005524B6" w:rsidP="000054FC">
      <w:pPr>
        <w:ind w:left="567" w:hanging="567"/>
        <w:rPr>
          <w:lang w:val="en-US"/>
        </w:rPr>
      </w:pPr>
      <w:r w:rsidRPr="005524B6">
        <w:rPr>
          <w:lang w:val="en-US"/>
        </w:rPr>
        <w:t>Pouderoux, H., G. Lamarche, and J.-N. Proust, 2012, Building an 18 000-year-long paleo-earthquake record from detailed deep-sea turbidite characterisation in Poverty Bay, New Zealand, Nat. Hazards Earth Syst. Sci., 12, no. 6, 2077–2101, doi: 10.5194/nhess-12-2077-2012.</w:t>
      </w:r>
    </w:p>
    <w:p w14:paraId="343A8AB8" w14:textId="77777777" w:rsidR="005524B6" w:rsidRPr="005524B6" w:rsidRDefault="005524B6" w:rsidP="000054FC">
      <w:pPr>
        <w:ind w:left="567" w:hanging="567"/>
        <w:rPr>
          <w:lang w:val="en-US"/>
        </w:rPr>
      </w:pPr>
      <w:r w:rsidRPr="005524B6">
        <w:rPr>
          <w:lang w:val="en-US"/>
        </w:rPr>
        <w:t>Pouderoux, H., J.-N. Proust, and G. Lamarche, 2014, Submarine paleoseismology of the northern Hikurangi subduction margin of New Zealand as deduced from Turbidite record since 16 ka, Quaternary Science Reviews, 84, 116–131, doi: http://dx.doi.org/10.1016/j.quascirev.2013.11.015.</w:t>
      </w:r>
    </w:p>
    <w:p w14:paraId="44E8956D" w14:textId="77777777" w:rsidR="005524B6" w:rsidRPr="005524B6" w:rsidRDefault="005524B6" w:rsidP="000054FC">
      <w:pPr>
        <w:ind w:left="567" w:hanging="567"/>
        <w:rPr>
          <w:lang w:val="en-US"/>
        </w:rPr>
      </w:pPr>
      <w:r w:rsidRPr="005524B6">
        <w:rPr>
          <w:lang w:val="en-US"/>
        </w:rPr>
        <w:t>Rahman, M., and H. Wu, 2017, Tests for Exponentiality: A Comparative Study, American Journal of Applied Mathematics and Statistics, 5, no. 4, 125–135, doi: 10.12691/ajams-5-4-3.</w:t>
      </w:r>
    </w:p>
    <w:p w14:paraId="29B9559C" w14:textId="77777777" w:rsidR="005524B6" w:rsidRPr="005524B6" w:rsidRDefault="005524B6" w:rsidP="000054FC">
      <w:pPr>
        <w:ind w:left="567" w:hanging="567"/>
        <w:rPr>
          <w:lang w:val="en-US"/>
        </w:rPr>
      </w:pPr>
      <w:r w:rsidRPr="005524B6">
        <w:rPr>
          <w:lang w:val="en-US"/>
        </w:rPr>
        <w:t>Rubin, C. M., B. P. Horton, K. Sieh, J. E. Pilarczyk, P. Daly, N. Ismail, and A. C. Parnell, 2017, Highly variable recurrence of tsunamis in the 7,400 years before the 2004 Indian Ocean tsunami, 8, 16019, doi: 10.1038/ncomms16019.</w:t>
      </w:r>
    </w:p>
    <w:p w14:paraId="46160170" w14:textId="77777777" w:rsidR="005524B6" w:rsidRPr="005524B6" w:rsidRDefault="005524B6" w:rsidP="000054FC">
      <w:pPr>
        <w:ind w:left="567" w:hanging="567"/>
        <w:rPr>
          <w:lang w:val="en-US"/>
        </w:rPr>
      </w:pPr>
      <w:r w:rsidRPr="005524B6">
        <w:rPr>
          <w:lang w:val="en-US"/>
        </w:rPr>
        <w:t>Sawai, Y. et al., 2009, Aperiodic recurrence of geologically recorded tsunamis during the past 5500 years in eastern Hokkaido, Japan, Journal of Geophysical Research: Solid Earth, 114, no. B01319, doi: 10.1029/2007JB005503.</w:t>
      </w:r>
    </w:p>
    <w:p w14:paraId="5541EF44" w14:textId="77777777" w:rsidR="005524B6" w:rsidRPr="005524B6" w:rsidRDefault="005524B6" w:rsidP="000054FC">
      <w:pPr>
        <w:ind w:left="567" w:hanging="567"/>
        <w:rPr>
          <w:lang w:val="en-US"/>
        </w:rPr>
      </w:pPr>
      <w:r w:rsidRPr="005524B6">
        <w:rPr>
          <w:lang w:val="en-US"/>
        </w:rPr>
        <w:t>Shennan, I., R. Bruhn, N. Barlow, K. Good, and E. Hocking, 2014, Late Holocene great earthquakes in the eastern part of the Aleutian megathrust, Quaternary Science Reviews, 84, no. 0, 86–97, doi: 10.1016/j.quascirev.2013.11.010.</w:t>
      </w:r>
    </w:p>
    <w:p w14:paraId="5D84EBC7" w14:textId="77777777" w:rsidR="005524B6" w:rsidRPr="005524B6" w:rsidRDefault="005524B6" w:rsidP="000054FC">
      <w:pPr>
        <w:ind w:left="567" w:hanging="567"/>
        <w:rPr>
          <w:lang w:val="en-US"/>
        </w:rPr>
      </w:pPr>
      <w:r w:rsidRPr="005524B6">
        <w:rPr>
          <w:lang w:val="en-US"/>
        </w:rPr>
        <w:t>Sieh, K., D. H. Natawidjaja, A. J. Meltzner, C.-C. Shen, H. Cheng, K.-S. Li, B. W. Suwargadi, J. Galetzka, B. Philibosian, and R. L. Edwards, 2008, Earthquake Supercycles Inferred from Sea-Level Changes Recorded in the Corals of West Sumatra, Science, 322, no. 5908, 1674 LP-1678.</w:t>
      </w:r>
    </w:p>
    <w:p w14:paraId="6B9DDB69" w14:textId="25E93350" w:rsidR="00925179" w:rsidRDefault="005524B6" w:rsidP="000054FC">
      <w:pPr>
        <w:ind w:left="567" w:hanging="567"/>
        <w:rPr>
          <w:lang w:val="en-US"/>
        </w:rPr>
      </w:pPr>
      <w:r w:rsidRPr="005524B6">
        <w:rPr>
          <w:lang w:val="en-US"/>
        </w:rPr>
        <w:t xml:space="preserve">Tormann, T., B. Enescu, J. Woessner, and S. Wiemer, 2015, Randomness of megathrust earthquakes implied by rapid stress recovery after the Japan earthquake, Nature Geoscience, 8, no. 2, 152–158, </w:t>
      </w:r>
      <w:proofErr w:type="spellStart"/>
      <w:r w:rsidRPr="005524B6">
        <w:rPr>
          <w:lang w:val="en-US"/>
        </w:rPr>
        <w:t>doi</w:t>
      </w:r>
      <w:proofErr w:type="spellEnd"/>
      <w:r w:rsidRPr="005524B6">
        <w:rPr>
          <w:lang w:val="en-US"/>
        </w:rPr>
        <w:t>: 10.1038/ngeo2343.</w:t>
      </w:r>
      <w:r w:rsidR="00925179">
        <w:rPr>
          <w:lang w:val="en-US"/>
        </w:rPr>
        <w:br w:type="page"/>
      </w:r>
    </w:p>
    <w:p w14:paraId="0E46C796" w14:textId="04279530" w:rsidR="007945B4" w:rsidRPr="00044FDF" w:rsidRDefault="000054FC" w:rsidP="000054FC">
      <w:pPr>
        <w:pStyle w:val="Heading1"/>
        <w:rPr>
          <w:lang w:val="en-US"/>
        </w:rPr>
      </w:pPr>
      <w:r>
        <w:rPr>
          <w:lang w:val="en-US"/>
        </w:rPr>
        <w:lastRenderedPageBreak/>
        <w:t>Supplementary information - tables</w:t>
      </w:r>
    </w:p>
    <w:p w14:paraId="594F5953" w14:textId="5585B68D" w:rsidR="00A272A4" w:rsidRPr="00044FDF" w:rsidRDefault="00A272A4" w:rsidP="000054FC">
      <w:pPr>
        <w:rPr>
          <w:rFonts w:cs="Times New Roman"/>
          <w:lang w:val="en-US"/>
        </w:rPr>
      </w:pPr>
      <w:r w:rsidRPr="000054FC">
        <w:rPr>
          <w:rFonts w:cs="Times New Roman"/>
          <w:b/>
          <w:lang w:val="en-US"/>
        </w:rPr>
        <w:t xml:space="preserve">Table </w:t>
      </w:r>
      <w:r w:rsidR="00AA6BDE" w:rsidRPr="000054FC">
        <w:rPr>
          <w:rFonts w:cs="Times New Roman"/>
          <w:b/>
          <w:lang w:val="en-US"/>
        </w:rPr>
        <w:t>S</w:t>
      </w:r>
      <w:r w:rsidRPr="000054FC">
        <w:rPr>
          <w:rFonts w:cs="Times New Roman"/>
          <w:b/>
          <w:lang w:val="en-US"/>
        </w:rPr>
        <w:t>1:</w:t>
      </w:r>
      <w:r w:rsidRPr="00044FDF">
        <w:rPr>
          <w:rFonts w:cs="Times New Roman"/>
          <w:lang w:val="en-US"/>
        </w:rPr>
        <w:t xml:space="preserve"> age information on the Lake Huelde paleotsunami record, with mean</w:t>
      </w:r>
      <w:r w:rsidR="000A74BD" w:rsidRPr="00044FDF">
        <w:rPr>
          <w:rFonts w:cs="Times New Roman"/>
          <w:lang w:val="en-US"/>
        </w:rPr>
        <w:t xml:space="preserve"> and</w:t>
      </w:r>
      <w:r w:rsidRPr="00044FDF">
        <w:rPr>
          <w:rFonts w:cs="Times New Roman"/>
          <w:lang w:val="en-US"/>
        </w:rPr>
        <w:t xml:space="preserve"> standard deviation</w:t>
      </w:r>
      <w:r w:rsidR="000A74BD" w:rsidRPr="00044FDF">
        <w:rPr>
          <w:rFonts w:cs="Times New Roman"/>
          <w:lang w:val="en-US"/>
        </w:rPr>
        <w:t>. The 2.5% and 97.5% quantiles represent the boundaries of the 95% confidence range. The 16% and 84% quantiles represent the boundaries of the 68% confidence range.</w:t>
      </w:r>
      <w:r w:rsidR="005A0CAA" w:rsidRPr="00044FDF">
        <w:rPr>
          <w:rFonts w:cs="Times New Roman"/>
          <w:lang w:val="en-US"/>
        </w:rPr>
        <w:t xml:space="preserve"> </w:t>
      </w:r>
    </w:p>
    <w:p w14:paraId="38A2B787" w14:textId="6813DB39" w:rsidR="00A272A4" w:rsidRDefault="000054FC" w:rsidP="000054FC">
      <w:pPr>
        <w:rPr>
          <w:rFonts w:cs="Times New Roman"/>
          <w:lang w:val="en-US"/>
        </w:rPr>
      </w:pPr>
      <w:r>
        <w:rPr>
          <w:rFonts w:cs="Times New Roman"/>
          <w:noProof/>
          <w:lang w:val="en-US"/>
        </w:rPr>
        <w:drawing>
          <wp:inline distT="0" distB="0" distL="0" distR="0" wp14:anchorId="3F308836" wp14:editId="5C7FEE46">
            <wp:extent cx="5040000" cy="2613333"/>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SI1 - Event Ages Huelde.pdf"/>
                    <pic:cNvPicPr/>
                  </pic:nvPicPr>
                  <pic:blipFill rotWithShape="1">
                    <a:blip r:embed="rId12"/>
                    <a:srcRect l="7470" t="5450" r="20963" b="68329"/>
                    <a:stretch/>
                  </pic:blipFill>
                  <pic:spPr bwMode="auto">
                    <a:xfrm>
                      <a:off x="0" y="0"/>
                      <a:ext cx="5040000" cy="2613333"/>
                    </a:xfrm>
                    <a:prstGeom prst="rect">
                      <a:avLst/>
                    </a:prstGeom>
                    <a:ln>
                      <a:noFill/>
                    </a:ln>
                    <a:extLst>
                      <a:ext uri="{53640926-AAD7-44D8-BBD7-CCE9431645EC}">
                        <a14:shadowObscured xmlns:a14="http://schemas.microsoft.com/office/drawing/2010/main"/>
                      </a:ext>
                    </a:extLst>
                  </pic:spPr>
                </pic:pic>
              </a:graphicData>
            </a:graphic>
          </wp:inline>
        </w:drawing>
      </w:r>
    </w:p>
    <w:p w14:paraId="1266E2C0" w14:textId="79EF95E4" w:rsidR="00925179" w:rsidRDefault="00925179" w:rsidP="000054FC">
      <w:pPr>
        <w:rPr>
          <w:rFonts w:cs="Times New Roman"/>
          <w:b/>
          <w:lang w:val="en-US"/>
        </w:rPr>
      </w:pPr>
      <w:r>
        <w:rPr>
          <w:rFonts w:cs="Times New Roman"/>
          <w:b/>
          <w:lang w:val="en-US"/>
        </w:rPr>
        <w:br w:type="page"/>
      </w:r>
    </w:p>
    <w:p w14:paraId="61D1B0F9" w14:textId="4D7EBEB4" w:rsidR="00BA1F65" w:rsidRDefault="00062622" w:rsidP="000054FC">
      <w:pPr>
        <w:rPr>
          <w:lang w:val="en-US"/>
        </w:rPr>
      </w:pPr>
      <w:r w:rsidRPr="000054FC">
        <w:rPr>
          <w:rFonts w:cs="Times New Roman"/>
          <w:b/>
          <w:lang w:val="en-US"/>
        </w:rPr>
        <w:lastRenderedPageBreak/>
        <w:t>T</w:t>
      </w:r>
      <w:r w:rsidR="00BA1F65" w:rsidRPr="000054FC">
        <w:rPr>
          <w:rFonts w:cs="Times New Roman"/>
          <w:b/>
          <w:lang w:val="en-US"/>
        </w:rPr>
        <w:t xml:space="preserve">able </w:t>
      </w:r>
      <w:r w:rsidR="00AA6BDE" w:rsidRPr="000054FC">
        <w:rPr>
          <w:rFonts w:cs="Times New Roman"/>
          <w:b/>
          <w:lang w:val="en-US"/>
        </w:rPr>
        <w:t>S</w:t>
      </w:r>
      <w:r w:rsidR="00A272A4" w:rsidRPr="000054FC">
        <w:rPr>
          <w:rFonts w:cs="Times New Roman"/>
          <w:b/>
          <w:lang w:val="en-US"/>
        </w:rPr>
        <w:t>2</w:t>
      </w:r>
      <w:r w:rsidR="00BA1F65" w:rsidRPr="000054FC">
        <w:rPr>
          <w:rFonts w:cs="Times New Roman"/>
          <w:b/>
          <w:lang w:val="en-US"/>
        </w:rPr>
        <w:t>:</w:t>
      </w:r>
      <w:r w:rsidR="000B1E3F" w:rsidRPr="00044FDF">
        <w:rPr>
          <w:rFonts w:cs="Times New Roman"/>
          <w:lang w:val="en-US"/>
        </w:rPr>
        <w:t xml:space="preserve"> </w:t>
      </w:r>
      <w:r w:rsidR="00545A6E" w:rsidRPr="00044FDF">
        <w:rPr>
          <w:rFonts w:cs="Times New Roman"/>
          <w:lang w:val="en-US"/>
        </w:rPr>
        <w:t>D</w:t>
      </w:r>
      <w:r w:rsidR="000B1E3F" w:rsidRPr="00044FDF">
        <w:rPr>
          <w:rFonts w:cs="Times New Roman"/>
          <w:lang w:val="en-US"/>
        </w:rPr>
        <w:t xml:space="preserve">escriptive statistics </w:t>
      </w:r>
      <w:r w:rsidR="00BC5D76" w:rsidRPr="00044FDF">
        <w:rPr>
          <w:rFonts w:cs="Times New Roman"/>
          <w:lang w:val="en-US"/>
        </w:rPr>
        <w:t>of all synthetic records of various sample sizes</w:t>
      </w:r>
      <w:r w:rsidR="00545A6E" w:rsidRPr="00044FDF">
        <w:rPr>
          <w:rFonts w:cs="Times New Roman"/>
          <w:lang w:val="en-US"/>
        </w:rPr>
        <w:t>.</w:t>
      </w:r>
      <w:r w:rsidR="00BA1F65" w:rsidRPr="00044FDF">
        <w:rPr>
          <w:rFonts w:cs="Times New Roman"/>
          <w:lang w:val="en-US"/>
        </w:rPr>
        <w:t xml:space="preserve"> </w:t>
      </w:r>
      <w:r w:rsidR="00ED6AE9" w:rsidRPr="00044FDF">
        <w:rPr>
          <w:rFonts w:cs="Times New Roman"/>
          <w:lang w:val="en-US"/>
        </w:rPr>
        <w:t>All synthetic records are scaled to a mean of 100 years</w:t>
      </w:r>
      <w:r w:rsidR="00E008A9" w:rsidRPr="00044FDF">
        <w:rPr>
          <w:rFonts w:cs="Times New Roman"/>
          <w:lang w:val="en-US"/>
        </w:rPr>
        <w:t>, therefore</w:t>
      </w:r>
      <w:r w:rsidR="00ED6AE9" w:rsidRPr="00044FDF">
        <w:rPr>
          <w:rFonts w:cs="Times New Roman"/>
          <w:lang w:val="en-US"/>
        </w:rPr>
        <w:t xml:space="preserve"> </w:t>
      </w:r>
      <w:r w:rsidR="00E008A9" w:rsidRPr="00044FDF">
        <w:rPr>
          <w:rFonts w:cs="Times New Roman"/>
          <w:lang w:val="en-US"/>
        </w:rPr>
        <w:t>t</w:t>
      </w:r>
      <w:r w:rsidR="00ED6AE9" w:rsidRPr="00044FDF">
        <w:rPr>
          <w:rFonts w:cs="Times New Roman"/>
          <w:lang w:val="en-US"/>
        </w:rPr>
        <w:t>he d</w:t>
      </w:r>
      <w:r w:rsidR="00E008A9" w:rsidRPr="00044FDF">
        <w:rPr>
          <w:rFonts w:cs="Times New Roman"/>
          <w:lang w:val="en-US"/>
        </w:rPr>
        <w:t>ifference to</w:t>
      </w:r>
      <w:r w:rsidR="00ED6AE9" w:rsidRPr="00044FDF">
        <w:rPr>
          <w:rFonts w:cs="Times New Roman"/>
          <w:lang w:val="en-US"/>
        </w:rPr>
        <w:t xml:space="preserve"> </w:t>
      </w:r>
      <w:r w:rsidR="00E008A9" w:rsidRPr="00044FDF">
        <w:rPr>
          <w:rFonts w:cs="Times New Roman"/>
          <w:lang w:val="en-US"/>
        </w:rPr>
        <w:t>100 years</w:t>
      </w:r>
      <w:r w:rsidR="00ED6AE9" w:rsidRPr="00044FDF">
        <w:rPr>
          <w:rFonts w:cs="Times New Roman"/>
          <w:lang w:val="en-US"/>
        </w:rPr>
        <w:t xml:space="preserve"> can be read as a number in percentage.</w:t>
      </w:r>
      <w:r w:rsidR="00E008A9" w:rsidRPr="00044FDF">
        <w:rPr>
          <w:rFonts w:cs="Times New Roman"/>
          <w:lang w:val="en-US"/>
        </w:rPr>
        <w:t xml:space="preserve"> The 2.5% and 97.5% quantiles represent the boundaries of the 95% confidence range. The 16% and 84% quantiles represent the boundaries of the 68% confidence range. The 25% and 75% quantiles </w:t>
      </w:r>
      <w:r w:rsidR="00235917" w:rsidRPr="00044FDF">
        <w:rPr>
          <w:rFonts w:cs="Times New Roman"/>
          <w:lang w:val="en-US"/>
        </w:rPr>
        <w:t>represent</w:t>
      </w:r>
      <w:r w:rsidR="00E008A9" w:rsidRPr="00044FDF">
        <w:rPr>
          <w:rFonts w:cs="Times New Roman"/>
          <w:lang w:val="en-US"/>
        </w:rPr>
        <w:t xml:space="preserve"> the boundaries of the interquartile range. The 50% quantile is identical to the median.</w:t>
      </w:r>
      <w:r w:rsidR="003F2AA7" w:rsidRPr="00A211CA">
        <w:rPr>
          <w:lang w:val="en-US"/>
        </w:rPr>
        <w:t xml:space="preserve"> </w:t>
      </w:r>
    </w:p>
    <w:p w14:paraId="2AADB1FA" w14:textId="27C7B883" w:rsidR="000054FC" w:rsidRPr="00A211CA" w:rsidRDefault="000054FC" w:rsidP="000054FC">
      <w:pPr>
        <w:jc w:val="center"/>
        <w:rPr>
          <w:lang w:val="en-US"/>
        </w:rPr>
      </w:pPr>
      <w:r>
        <w:rPr>
          <w:noProof/>
          <w:lang w:val="en-US"/>
        </w:rPr>
        <w:drawing>
          <wp:inline distT="0" distB="0" distL="0" distR="0" wp14:anchorId="33FE3C6D" wp14:editId="2381130C">
            <wp:extent cx="5040000" cy="5348257"/>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SI2 - Descriptive statistics.pdf"/>
                    <pic:cNvPicPr/>
                  </pic:nvPicPr>
                  <pic:blipFill rotWithShape="1">
                    <a:blip r:embed="rId13"/>
                    <a:srcRect l="7711" t="6811" r="13493" b="34105"/>
                    <a:stretch/>
                  </pic:blipFill>
                  <pic:spPr bwMode="auto">
                    <a:xfrm>
                      <a:off x="0" y="0"/>
                      <a:ext cx="5040000" cy="5348257"/>
                    </a:xfrm>
                    <a:prstGeom prst="rect">
                      <a:avLst/>
                    </a:prstGeom>
                    <a:ln>
                      <a:noFill/>
                    </a:ln>
                    <a:extLst>
                      <a:ext uri="{53640926-AAD7-44D8-BBD7-CCE9431645EC}">
                        <a14:shadowObscured xmlns:a14="http://schemas.microsoft.com/office/drawing/2010/main"/>
                      </a:ext>
                    </a:extLst>
                  </pic:spPr>
                </pic:pic>
              </a:graphicData>
            </a:graphic>
          </wp:inline>
        </w:drawing>
      </w:r>
    </w:p>
    <w:sectPr w:rsidR="000054FC" w:rsidRPr="00A211CA" w:rsidSect="000054FC">
      <w:footerReference w:type="even"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B3B2F" w14:textId="77777777" w:rsidR="008C6326" w:rsidRDefault="008C6326" w:rsidP="0083728D">
      <w:pPr>
        <w:spacing w:after="0" w:line="240" w:lineRule="auto"/>
      </w:pPr>
      <w:r>
        <w:separator/>
      </w:r>
    </w:p>
  </w:endnote>
  <w:endnote w:type="continuationSeparator" w:id="0">
    <w:p w14:paraId="611E5042" w14:textId="77777777" w:rsidR="008C6326" w:rsidRDefault="008C6326" w:rsidP="00837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4CFCA" w14:textId="77777777" w:rsidR="00730A9F" w:rsidRDefault="00730A9F" w:rsidP="000054F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F07427" w14:textId="77777777" w:rsidR="00730A9F" w:rsidRDefault="00730A9F" w:rsidP="008372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EF8D0" w14:textId="25F87B38" w:rsidR="00730A9F" w:rsidRDefault="00730A9F" w:rsidP="000054F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51E9B985" w14:textId="77777777" w:rsidR="00730A9F" w:rsidRDefault="00730A9F" w:rsidP="008372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48232" w14:textId="77777777" w:rsidR="008C6326" w:rsidRDefault="008C6326" w:rsidP="0083728D">
      <w:pPr>
        <w:spacing w:after="0" w:line="240" w:lineRule="auto"/>
      </w:pPr>
      <w:r>
        <w:separator/>
      </w:r>
    </w:p>
  </w:footnote>
  <w:footnote w:type="continuationSeparator" w:id="0">
    <w:p w14:paraId="30381C12" w14:textId="77777777" w:rsidR="008C6326" w:rsidRDefault="008C6326" w:rsidP="00837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2E46"/>
    <w:multiLevelType w:val="hybridMultilevel"/>
    <w:tmpl w:val="335CC424"/>
    <w:lvl w:ilvl="0" w:tplc="BAA629C0">
      <w:start w:val="24"/>
      <w:numFmt w:val="bullet"/>
      <w:lvlText w:val="-"/>
      <w:lvlJc w:val="left"/>
      <w:pPr>
        <w:ind w:left="1080" w:hanging="360"/>
      </w:pPr>
      <w:rPr>
        <w:rFonts w:ascii="Cambria" w:eastAsiaTheme="minorHAnsi"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830C7B"/>
    <w:multiLevelType w:val="hybridMultilevel"/>
    <w:tmpl w:val="CB0047B2"/>
    <w:lvl w:ilvl="0" w:tplc="DB4A5F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72010"/>
    <w:multiLevelType w:val="hybridMultilevel"/>
    <w:tmpl w:val="4210E3B6"/>
    <w:lvl w:ilvl="0" w:tplc="97A8A52E">
      <w:start w:val="4"/>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9DF3F89"/>
    <w:multiLevelType w:val="hybridMultilevel"/>
    <w:tmpl w:val="985805F0"/>
    <w:lvl w:ilvl="0" w:tplc="F7C61FCE">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E35C7"/>
    <w:multiLevelType w:val="hybridMultilevel"/>
    <w:tmpl w:val="8564B560"/>
    <w:lvl w:ilvl="0" w:tplc="4858AB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23C79"/>
    <w:multiLevelType w:val="hybridMultilevel"/>
    <w:tmpl w:val="F726F7E6"/>
    <w:lvl w:ilvl="0" w:tplc="B7E8EA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675023A6"/>
    <w:multiLevelType w:val="hybridMultilevel"/>
    <w:tmpl w:val="DA823CC2"/>
    <w:lvl w:ilvl="0" w:tplc="BA4221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59471A"/>
    <w:multiLevelType w:val="multilevel"/>
    <w:tmpl w:val="02CE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6"/>
  </w:num>
  <w:num w:numId="4">
    <w:abstractNumId w:val="1"/>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ABC"/>
    <w:rsid w:val="000054FC"/>
    <w:rsid w:val="00005D16"/>
    <w:rsid w:val="0000717D"/>
    <w:rsid w:val="0001128C"/>
    <w:rsid w:val="00011E3A"/>
    <w:rsid w:val="00014C57"/>
    <w:rsid w:val="00016F5E"/>
    <w:rsid w:val="00023198"/>
    <w:rsid w:val="00033022"/>
    <w:rsid w:val="0003482C"/>
    <w:rsid w:val="00037F07"/>
    <w:rsid w:val="00041E3C"/>
    <w:rsid w:val="00042A0C"/>
    <w:rsid w:val="00044FDF"/>
    <w:rsid w:val="00045E34"/>
    <w:rsid w:val="00052C81"/>
    <w:rsid w:val="0005396E"/>
    <w:rsid w:val="0005407C"/>
    <w:rsid w:val="00055690"/>
    <w:rsid w:val="00056212"/>
    <w:rsid w:val="000616A9"/>
    <w:rsid w:val="00062622"/>
    <w:rsid w:val="000739E4"/>
    <w:rsid w:val="000764CF"/>
    <w:rsid w:val="00076C32"/>
    <w:rsid w:val="00085BFD"/>
    <w:rsid w:val="00096ACC"/>
    <w:rsid w:val="000A71BF"/>
    <w:rsid w:val="000A74BD"/>
    <w:rsid w:val="000B1E3F"/>
    <w:rsid w:val="000C055C"/>
    <w:rsid w:val="000C5326"/>
    <w:rsid w:val="000C6566"/>
    <w:rsid w:val="000D2207"/>
    <w:rsid w:val="000E781B"/>
    <w:rsid w:val="000F487B"/>
    <w:rsid w:val="000F7439"/>
    <w:rsid w:val="00110EF0"/>
    <w:rsid w:val="00113AA9"/>
    <w:rsid w:val="0012449E"/>
    <w:rsid w:val="00124D06"/>
    <w:rsid w:val="00126665"/>
    <w:rsid w:val="00133DE1"/>
    <w:rsid w:val="00142B80"/>
    <w:rsid w:val="0014526B"/>
    <w:rsid w:val="0014593F"/>
    <w:rsid w:val="00162C03"/>
    <w:rsid w:val="00165B72"/>
    <w:rsid w:val="0017512E"/>
    <w:rsid w:val="001771ED"/>
    <w:rsid w:val="00180364"/>
    <w:rsid w:val="00187EEB"/>
    <w:rsid w:val="00192E97"/>
    <w:rsid w:val="00196F65"/>
    <w:rsid w:val="001A114C"/>
    <w:rsid w:val="001A4983"/>
    <w:rsid w:val="001A4B7B"/>
    <w:rsid w:val="001A6353"/>
    <w:rsid w:val="001B6EFD"/>
    <w:rsid w:val="001C03BF"/>
    <w:rsid w:val="001D50E4"/>
    <w:rsid w:val="001D69A5"/>
    <w:rsid w:val="001E3738"/>
    <w:rsid w:val="001F35C3"/>
    <w:rsid w:val="0020312A"/>
    <w:rsid w:val="00205F01"/>
    <w:rsid w:val="00210191"/>
    <w:rsid w:val="0021146F"/>
    <w:rsid w:val="00214341"/>
    <w:rsid w:val="00225108"/>
    <w:rsid w:val="00225AD3"/>
    <w:rsid w:val="00226048"/>
    <w:rsid w:val="00227F8E"/>
    <w:rsid w:val="00231D31"/>
    <w:rsid w:val="002334AC"/>
    <w:rsid w:val="002358AA"/>
    <w:rsid w:val="00235917"/>
    <w:rsid w:val="00243E08"/>
    <w:rsid w:val="00251805"/>
    <w:rsid w:val="0025648B"/>
    <w:rsid w:val="00262686"/>
    <w:rsid w:val="00270172"/>
    <w:rsid w:val="00276B3F"/>
    <w:rsid w:val="00276E3D"/>
    <w:rsid w:val="00293E14"/>
    <w:rsid w:val="002958FC"/>
    <w:rsid w:val="002A275A"/>
    <w:rsid w:val="002A2C73"/>
    <w:rsid w:val="002A641A"/>
    <w:rsid w:val="002B0CB1"/>
    <w:rsid w:val="002B1230"/>
    <w:rsid w:val="002B40FA"/>
    <w:rsid w:val="002C54AB"/>
    <w:rsid w:val="002E19FC"/>
    <w:rsid w:val="002F1E73"/>
    <w:rsid w:val="003128AE"/>
    <w:rsid w:val="00316E76"/>
    <w:rsid w:val="00317E0C"/>
    <w:rsid w:val="00324D73"/>
    <w:rsid w:val="00325719"/>
    <w:rsid w:val="00325D8A"/>
    <w:rsid w:val="00331402"/>
    <w:rsid w:val="003318DD"/>
    <w:rsid w:val="0033664B"/>
    <w:rsid w:val="003368C6"/>
    <w:rsid w:val="00347B6D"/>
    <w:rsid w:val="0035429A"/>
    <w:rsid w:val="00356EF7"/>
    <w:rsid w:val="00363AA7"/>
    <w:rsid w:val="003722F5"/>
    <w:rsid w:val="003726FB"/>
    <w:rsid w:val="00373F64"/>
    <w:rsid w:val="00380E5B"/>
    <w:rsid w:val="00382086"/>
    <w:rsid w:val="0038343F"/>
    <w:rsid w:val="0039170D"/>
    <w:rsid w:val="0039476F"/>
    <w:rsid w:val="003968E5"/>
    <w:rsid w:val="003A2716"/>
    <w:rsid w:val="003A38BA"/>
    <w:rsid w:val="003B49A3"/>
    <w:rsid w:val="003C3585"/>
    <w:rsid w:val="003C3B3F"/>
    <w:rsid w:val="003D0032"/>
    <w:rsid w:val="003D19EF"/>
    <w:rsid w:val="003D2D1E"/>
    <w:rsid w:val="003F205D"/>
    <w:rsid w:val="003F2AA7"/>
    <w:rsid w:val="003F35B3"/>
    <w:rsid w:val="003F4FE1"/>
    <w:rsid w:val="00411832"/>
    <w:rsid w:val="00411D55"/>
    <w:rsid w:val="004121D2"/>
    <w:rsid w:val="004135E9"/>
    <w:rsid w:val="004152DD"/>
    <w:rsid w:val="00415A6D"/>
    <w:rsid w:val="00420A83"/>
    <w:rsid w:val="0042431F"/>
    <w:rsid w:val="00430193"/>
    <w:rsid w:val="0043040D"/>
    <w:rsid w:val="00434E08"/>
    <w:rsid w:val="004417A1"/>
    <w:rsid w:val="004472A5"/>
    <w:rsid w:val="00452691"/>
    <w:rsid w:val="00457FB5"/>
    <w:rsid w:val="00460D81"/>
    <w:rsid w:val="00462BA6"/>
    <w:rsid w:val="0046725C"/>
    <w:rsid w:val="0047041E"/>
    <w:rsid w:val="004746B8"/>
    <w:rsid w:val="00476980"/>
    <w:rsid w:val="00477444"/>
    <w:rsid w:val="00485D67"/>
    <w:rsid w:val="00491CE4"/>
    <w:rsid w:val="00492404"/>
    <w:rsid w:val="00493055"/>
    <w:rsid w:val="004950B4"/>
    <w:rsid w:val="004B1A90"/>
    <w:rsid w:val="004B3458"/>
    <w:rsid w:val="004B58EB"/>
    <w:rsid w:val="004C6015"/>
    <w:rsid w:val="004D49B6"/>
    <w:rsid w:val="004D7781"/>
    <w:rsid w:val="004E17D6"/>
    <w:rsid w:val="004E626D"/>
    <w:rsid w:val="004E7777"/>
    <w:rsid w:val="005030C5"/>
    <w:rsid w:val="00503232"/>
    <w:rsid w:val="00505381"/>
    <w:rsid w:val="00514BFB"/>
    <w:rsid w:val="00515121"/>
    <w:rsid w:val="005170EC"/>
    <w:rsid w:val="0053316B"/>
    <w:rsid w:val="00535284"/>
    <w:rsid w:val="00537B13"/>
    <w:rsid w:val="00545A6E"/>
    <w:rsid w:val="00545C2F"/>
    <w:rsid w:val="00550187"/>
    <w:rsid w:val="005524B6"/>
    <w:rsid w:val="0055256A"/>
    <w:rsid w:val="00555B21"/>
    <w:rsid w:val="00557489"/>
    <w:rsid w:val="0056068B"/>
    <w:rsid w:val="00560F4E"/>
    <w:rsid w:val="00561C2C"/>
    <w:rsid w:val="00561E75"/>
    <w:rsid w:val="00566E07"/>
    <w:rsid w:val="005713AF"/>
    <w:rsid w:val="005822C0"/>
    <w:rsid w:val="00596EF3"/>
    <w:rsid w:val="005A0CAA"/>
    <w:rsid w:val="005A5F23"/>
    <w:rsid w:val="005B4128"/>
    <w:rsid w:val="005B5EAC"/>
    <w:rsid w:val="005C2A5C"/>
    <w:rsid w:val="005C56A0"/>
    <w:rsid w:val="005D4578"/>
    <w:rsid w:val="005D6E53"/>
    <w:rsid w:val="005D7AAD"/>
    <w:rsid w:val="005E5652"/>
    <w:rsid w:val="005E7B74"/>
    <w:rsid w:val="005F0303"/>
    <w:rsid w:val="005F472E"/>
    <w:rsid w:val="006009F0"/>
    <w:rsid w:val="00601AFF"/>
    <w:rsid w:val="00603442"/>
    <w:rsid w:val="00604871"/>
    <w:rsid w:val="00604BD1"/>
    <w:rsid w:val="00605729"/>
    <w:rsid w:val="0061364F"/>
    <w:rsid w:val="006150DE"/>
    <w:rsid w:val="00617BC1"/>
    <w:rsid w:val="006342AE"/>
    <w:rsid w:val="006345AE"/>
    <w:rsid w:val="0063644F"/>
    <w:rsid w:val="0064584B"/>
    <w:rsid w:val="006477D2"/>
    <w:rsid w:val="00650890"/>
    <w:rsid w:val="00653CA8"/>
    <w:rsid w:val="0065743C"/>
    <w:rsid w:val="0065780A"/>
    <w:rsid w:val="00661EA7"/>
    <w:rsid w:val="00663759"/>
    <w:rsid w:val="00666A26"/>
    <w:rsid w:val="006728A4"/>
    <w:rsid w:val="00674028"/>
    <w:rsid w:val="006849D4"/>
    <w:rsid w:val="006A5273"/>
    <w:rsid w:val="006A56EA"/>
    <w:rsid w:val="006B0F26"/>
    <w:rsid w:val="006B2516"/>
    <w:rsid w:val="006C356D"/>
    <w:rsid w:val="006E0B96"/>
    <w:rsid w:val="006E102F"/>
    <w:rsid w:val="006E11D2"/>
    <w:rsid w:val="006E1EE2"/>
    <w:rsid w:val="006E649D"/>
    <w:rsid w:val="006E6D2A"/>
    <w:rsid w:val="006E7FA7"/>
    <w:rsid w:val="006F05AA"/>
    <w:rsid w:val="006F3881"/>
    <w:rsid w:val="006F4279"/>
    <w:rsid w:val="00703ABC"/>
    <w:rsid w:val="007057C2"/>
    <w:rsid w:val="00711545"/>
    <w:rsid w:val="00711A54"/>
    <w:rsid w:val="007130B8"/>
    <w:rsid w:val="00714405"/>
    <w:rsid w:val="00714688"/>
    <w:rsid w:val="00717A67"/>
    <w:rsid w:val="00720A27"/>
    <w:rsid w:val="00722BE7"/>
    <w:rsid w:val="00723131"/>
    <w:rsid w:val="00726086"/>
    <w:rsid w:val="00727F67"/>
    <w:rsid w:val="00730A9F"/>
    <w:rsid w:val="007404CA"/>
    <w:rsid w:val="0074084F"/>
    <w:rsid w:val="00745108"/>
    <w:rsid w:val="0074777D"/>
    <w:rsid w:val="00756354"/>
    <w:rsid w:val="00757C52"/>
    <w:rsid w:val="00763DB6"/>
    <w:rsid w:val="00765CD4"/>
    <w:rsid w:val="0076605E"/>
    <w:rsid w:val="00771039"/>
    <w:rsid w:val="00771619"/>
    <w:rsid w:val="007754DF"/>
    <w:rsid w:val="007832D1"/>
    <w:rsid w:val="007849C3"/>
    <w:rsid w:val="007945B4"/>
    <w:rsid w:val="00795D8C"/>
    <w:rsid w:val="007A6210"/>
    <w:rsid w:val="007A6625"/>
    <w:rsid w:val="007A6B41"/>
    <w:rsid w:val="007B41AE"/>
    <w:rsid w:val="007B660F"/>
    <w:rsid w:val="007C36C3"/>
    <w:rsid w:val="007D4C01"/>
    <w:rsid w:val="007D6702"/>
    <w:rsid w:val="007E71C9"/>
    <w:rsid w:val="007E725B"/>
    <w:rsid w:val="007E7B60"/>
    <w:rsid w:val="007E7F60"/>
    <w:rsid w:val="007F20AB"/>
    <w:rsid w:val="007F6341"/>
    <w:rsid w:val="007F7F1E"/>
    <w:rsid w:val="00807792"/>
    <w:rsid w:val="00812176"/>
    <w:rsid w:val="008153EC"/>
    <w:rsid w:val="00817D2E"/>
    <w:rsid w:val="00820197"/>
    <w:rsid w:val="008202A8"/>
    <w:rsid w:val="008219B0"/>
    <w:rsid w:val="00821FC6"/>
    <w:rsid w:val="0082692C"/>
    <w:rsid w:val="008279C8"/>
    <w:rsid w:val="00834238"/>
    <w:rsid w:val="0083728D"/>
    <w:rsid w:val="00840276"/>
    <w:rsid w:val="0084582B"/>
    <w:rsid w:val="0084614D"/>
    <w:rsid w:val="008640CA"/>
    <w:rsid w:val="00873298"/>
    <w:rsid w:val="0087460C"/>
    <w:rsid w:val="008854F8"/>
    <w:rsid w:val="0088603E"/>
    <w:rsid w:val="00891E00"/>
    <w:rsid w:val="0089263F"/>
    <w:rsid w:val="00892BBE"/>
    <w:rsid w:val="008942C0"/>
    <w:rsid w:val="00895388"/>
    <w:rsid w:val="00895FCE"/>
    <w:rsid w:val="00896259"/>
    <w:rsid w:val="008A74BB"/>
    <w:rsid w:val="008B5AA7"/>
    <w:rsid w:val="008C4919"/>
    <w:rsid w:val="008C6326"/>
    <w:rsid w:val="008D1F45"/>
    <w:rsid w:val="008D20D4"/>
    <w:rsid w:val="008D3335"/>
    <w:rsid w:val="008D71D2"/>
    <w:rsid w:val="008E1E2F"/>
    <w:rsid w:val="008E633B"/>
    <w:rsid w:val="008F287F"/>
    <w:rsid w:val="008F7F20"/>
    <w:rsid w:val="009041F3"/>
    <w:rsid w:val="0090564D"/>
    <w:rsid w:val="009075C4"/>
    <w:rsid w:val="00915912"/>
    <w:rsid w:val="00921F6F"/>
    <w:rsid w:val="009234DA"/>
    <w:rsid w:val="009244B7"/>
    <w:rsid w:val="00925179"/>
    <w:rsid w:val="00926580"/>
    <w:rsid w:val="00934F34"/>
    <w:rsid w:val="009405E5"/>
    <w:rsid w:val="009459B6"/>
    <w:rsid w:val="0095003F"/>
    <w:rsid w:val="0095151D"/>
    <w:rsid w:val="0097143F"/>
    <w:rsid w:val="0097647F"/>
    <w:rsid w:val="00984965"/>
    <w:rsid w:val="00984D3D"/>
    <w:rsid w:val="00987F05"/>
    <w:rsid w:val="0099491B"/>
    <w:rsid w:val="009B0A03"/>
    <w:rsid w:val="009B2995"/>
    <w:rsid w:val="009B6F84"/>
    <w:rsid w:val="009B7D93"/>
    <w:rsid w:val="009C1707"/>
    <w:rsid w:val="009C4988"/>
    <w:rsid w:val="009D0CF3"/>
    <w:rsid w:val="009D2BA7"/>
    <w:rsid w:val="009D5F4C"/>
    <w:rsid w:val="009F3CA2"/>
    <w:rsid w:val="00A01ECC"/>
    <w:rsid w:val="00A02FFB"/>
    <w:rsid w:val="00A1359E"/>
    <w:rsid w:val="00A15526"/>
    <w:rsid w:val="00A15B6B"/>
    <w:rsid w:val="00A211CA"/>
    <w:rsid w:val="00A22CB2"/>
    <w:rsid w:val="00A272A4"/>
    <w:rsid w:val="00A31B18"/>
    <w:rsid w:val="00A43850"/>
    <w:rsid w:val="00A53F9C"/>
    <w:rsid w:val="00A5795B"/>
    <w:rsid w:val="00A6672B"/>
    <w:rsid w:val="00A6716E"/>
    <w:rsid w:val="00A71688"/>
    <w:rsid w:val="00A77C3E"/>
    <w:rsid w:val="00A8007D"/>
    <w:rsid w:val="00A839B8"/>
    <w:rsid w:val="00A83E86"/>
    <w:rsid w:val="00A94645"/>
    <w:rsid w:val="00A94C68"/>
    <w:rsid w:val="00A95385"/>
    <w:rsid w:val="00AA632F"/>
    <w:rsid w:val="00AA6BDE"/>
    <w:rsid w:val="00AB363F"/>
    <w:rsid w:val="00AB3869"/>
    <w:rsid w:val="00AB4694"/>
    <w:rsid w:val="00AC0FF4"/>
    <w:rsid w:val="00AC26B0"/>
    <w:rsid w:val="00AD6915"/>
    <w:rsid w:val="00AE0E41"/>
    <w:rsid w:val="00AF2458"/>
    <w:rsid w:val="00B07C56"/>
    <w:rsid w:val="00B1029F"/>
    <w:rsid w:val="00B10692"/>
    <w:rsid w:val="00B12AF3"/>
    <w:rsid w:val="00B13468"/>
    <w:rsid w:val="00B176C3"/>
    <w:rsid w:val="00B23F54"/>
    <w:rsid w:val="00B24A14"/>
    <w:rsid w:val="00B253C4"/>
    <w:rsid w:val="00B27C1D"/>
    <w:rsid w:val="00B307AE"/>
    <w:rsid w:val="00B31964"/>
    <w:rsid w:val="00B425D4"/>
    <w:rsid w:val="00B511B7"/>
    <w:rsid w:val="00B70ACE"/>
    <w:rsid w:val="00B74997"/>
    <w:rsid w:val="00B812F6"/>
    <w:rsid w:val="00B835BA"/>
    <w:rsid w:val="00B84A50"/>
    <w:rsid w:val="00B90CCE"/>
    <w:rsid w:val="00B921C8"/>
    <w:rsid w:val="00B93FEF"/>
    <w:rsid w:val="00B9467A"/>
    <w:rsid w:val="00B9485C"/>
    <w:rsid w:val="00BA08F3"/>
    <w:rsid w:val="00BA1BBC"/>
    <w:rsid w:val="00BA1F65"/>
    <w:rsid w:val="00BA6F74"/>
    <w:rsid w:val="00BB03E7"/>
    <w:rsid w:val="00BC5CE5"/>
    <w:rsid w:val="00BC5D76"/>
    <w:rsid w:val="00BD2FEF"/>
    <w:rsid w:val="00BD4414"/>
    <w:rsid w:val="00BD7C48"/>
    <w:rsid w:val="00BE3F33"/>
    <w:rsid w:val="00BE4BB0"/>
    <w:rsid w:val="00BE58DB"/>
    <w:rsid w:val="00BE7387"/>
    <w:rsid w:val="00BF47E2"/>
    <w:rsid w:val="00C11686"/>
    <w:rsid w:val="00C16377"/>
    <w:rsid w:val="00C20D31"/>
    <w:rsid w:val="00C27413"/>
    <w:rsid w:val="00C320E7"/>
    <w:rsid w:val="00C33518"/>
    <w:rsid w:val="00C34664"/>
    <w:rsid w:val="00C36F7D"/>
    <w:rsid w:val="00C37971"/>
    <w:rsid w:val="00C45280"/>
    <w:rsid w:val="00C471C8"/>
    <w:rsid w:val="00C47579"/>
    <w:rsid w:val="00C553D9"/>
    <w:rsid w:val="00C55F9F"/>
    <w:rsid w:val="00C57705"/>
    <w:rsid w:val="00C57F4E"/>
    <w:rsid w:val="00C60705"/>
    <w:rsid w:val="00C60AD5"/>
    <w:rsid w:val="00C61E8B"/>
    <w:rsid w:val="00C63052"/>
    <w:rsid w:val="00C63804"/>
    <w:rsid w:val="00C64B80"/>
    <w:rsid w:val="00C65686"/>
    <w:rsid w:val="00C7072C"/>
    <w:rsid w:val="00C7111D"/>
    <w:rsid w:val="00C718F3"/>
    <w:rsid w:val="00C90D98"/>
    <w:rsid w:val="00C9532E"/>
    <w:rsid w:val="00C953A0"/>
    <w:rsid w:val="00C96CA6"/>
    <w:rsid w:val="00C975AE"/>
    <w:rsid w:val="00CA24B3"/>
    <w:rsid w:val="00CB07E0"/>
    <w:rsid w:val="00CB3F7F"/>
    <w:rsid w:val="00CB6CA7"/>
    <w:rsid w:val="00CB7020"/>
    <w:rsid w:val="00CC3E84"/>
    <w:rsid w:val="00CC58FC"/>
    <w:rsid w:val="00CC7C08"/>
    <w:rsid w:val="00CD10E1"/>
    <w:rsid w:val="00CD2A3E"/>
    <w:rsid w:val="00CE1BBF"/>
    <w:rsid w:val="00CE262A"/>
    <w:rsid w:val="00CE3F83"/>
    <w:rsid w:val="00CE728D"/>
    <w:rsid w:val="00CF5755"/>
    <w:rsid w:val="00D0251D"/>
    <w:rsid w:val="00D0414F"/>
    <w:rsid w:val="00D117B9"/>
    <w:rsid w:val="00D25F70"/>
    <w:rsid w:val="00D2654B"/>
    <w:rsid w:val="00D277F1"/>
    <w:rsid w:val="00D509F3"/>
    <w:rsid w:val="00D514A4"/>
    <w:rsid w:val="00D55A1C"/>
    <w:rsid w:val="00D57CC7"/>
    <w:rsid w:val="00D67BB9"/>
    <w:rsid w:val="00D70751"/>
    <w:rsid w:val="00D728E4"/>
    <w:rsid w:val="00D74C4A"/>
    <w:rsid w:val="00D74F38"/>
    <w:rsid w:val="00D7756C"/>
    <w:rsid w:val="00D817AB"/>
    <w:rsid w:val="00D8359A"/>
    <w:rsid w:val="00D84692"/>
    <w:rsid w:val="00D95A1B"/>
    <w:rsid w:val="00D97008"/>
    <w:rsid w:val="00DA7094"/>
    <w:rsid w:val="00DB14FA"/>
    <w:rsid w:val="00DB22A4"/>
    <w:rsid w:val="00DB2D55"/>
    <w:rsid w:val="00DB3E17"/>
    <w:rsid w:val="00DC0FD6"/>
    <w:rsid w:val="00DC4526"/>
    <w:rsid w:val="00DD047B"/>
    <w:rsid w:val="00DD1CDA"/>
    <w:rsid w:val="00DD1DF8"/>
    <w:rsid w:val="00DF7864"/>
    <w:rsid w:val="00E008A9"/>
    <w:rsid w:val="00E00FC9"/>
    <w:rsid w:val="00E028A0"/>
    <w:rsid w:val="00E1345B"/>
    <w:rsid w:val="00E208E4"/>
    <w:rsid w:val="00E20DA7"/>
    <w:rsid w:val="00E21B67"/>
    <w:rsid w:val="00E233CB"/>
    <w:rsid w:val="00E27056"/>
    <w:rsid w:val="00E27CCF"/>
    <w:rsid w:val="00E3145C"/>
    <w:rsid w:val="00E40D2C"/>
    <w:rsid w:val="00E41CB6"/>
    <w:rsid w:val="00E41D92"/>
    <w:rsid w:val="00E446C6"/>
    <w:rsid w:val="00E44A07"/>
    <w:rsid w:val="00E50ED2"/>
    <w:rsid w:val="00E5641B"/>
    <w:rsid w:val="00E57200"/>
    <w:rsid w:val="00E601D9"/>
    <w:rsid w:val="00E62737"/>
    <w:rsid w:val="00E643C1"/>
    <w:rsid w:val="00E66223"/>
    <w:rsid w:val="00E67DBD"/>
    <w:rsid w:val="00E7025B"/>
    <w:rsid w:val="00E82EED"/>
    <w:rsid w:val="00E907D4"/>
    <w:rsid w:val="00E978D2"/>
    <w:rsid w:val="00EA0CCF"/>
    <w:rsid w:val="00EA34B7"/>
    <w:rsid w:val="00EA6607"/>
    <w:rsid w:val="00EA6DCD"/>
    <w:rsid w:val="00EA750D"/>
    <w:rsid w:val="00EA794E"/>
    <w:rsid w:val="00EB02D4"/>
    <w:rsid w:val="00EB6242"/>
    <w:rsid w:val="00EC22EE"/>
    <w:rsid w:val="00EC4386"/>
    <w:rsid w:val="00EC54CA"/>
    <w:rsid w:val="00ED6AE9"/>
    <w:rsid w:val="00EE2846"/>
    <w:rsid w:val="00EF4316"/>
    <w:rsid w:val="00F11A52"/>
    <w:rsid w:val="00F26F4A"/>
    <w:rsid w:val="00F330D9"/>
    <w:rsid w:val="00F3357B"/>
    <w:rsid w:val="00F36D15"/>
    <w:rsid w:val="00F430C3"/>
    <w:rsid w:val="00F44126"/>
    <w:rsid w:val="00F441E9"/>
    <w:rsid w:val="00F444F9"/>
    <w:rsid w:val="00F45A3B"/>
    <w:rsid w:val="00F4713D"/>
    <w:rsid w:val="00F47C44"/>
    <w:rsid w:val="00F636AE"/>
    <w:rsid w:val="00F67C4B"/>
    <w:rsid w:val="00F726C0"/>
    <w:rsid w:val="00F73F21"/>
    <w:rsid w:val="00F82F1E"/>
    <w:rsid w:val="00FA515D"/>
    <w:rsid w:val="00FB1ABC"/>
    <w:rsid w:val="00FB322B"/>
    <w:rsid w:val="00FB3F51"/>
    <w:rsid w:val="00FB5014"/>
    <w:rsid w:val="00FB694E"/>
    <w:rsid w:val="00FC1AC1"/>
    <w:rsid w:val="00FC1AE7"/>
    <w:rsid w:val="00FC4AF9"/>
    <w:rsid w:val="00FD55F7"/>
    <w:rsid w:val="00FD5AEE"/>
    <w:rsid w:val="00FD678B"/>
    <w:rsid w:val="00FE1A57"/>
    <w:rsid w:val="00FE2B7C"/>
    <w:rsid w:val="00FE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A10743"/>
  <w14:defaultImageDpi w14:val="300"/>
  <w15:docId w15:val="{9E73866F-0A9A-FF49-9813-D53EB051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5D8C"/>
    <w:pPr>
      <w:spacing w:after="120" w:line="276" w:lineRule="auto"/>
    </w:pPr>
    <w:rPr>
      <w:rFonts w:ascii="Times New Roman" w:eastAsiaTheme="minorHAnsi" w:hAnsi="Times New Roman"/>
      <w:szCs w:val="22"/>
      <w:lang w:val="en-GB"/>
    </w:rPr>
  </w:style>
  <w:style w:type="paragraph" w:styleId="Heading1">
    <w:name w:val="heading 1"/>
    <w:basedOn w:val="Normal"/>
    <w:next w:val="Normal"/>
    <w:link w:val="Heading1Char"/>
    <w:uiPriority w:val="9"/>
    <w:qFormat/>
    <w:rsid w:val="00FB1ABC"/>
    <w:pPr>
      <w:keepNext/>
      <w:keepLines/>
      <w:spacing w:before="240" w:after="0"/>
      <w:outlineLvl w:val="0"/>
    </w:pPr>
    <w:rPr>
      <w:rFonts w:eastAsiaTheme="majorEastAsia" w:cstheme="majorBidi"/>
      <w:b/>
      <w:bCs/>
      <w:szCs w:val="32"/>
    </w:rPr>
  </w:style>
  <w:style w:type="paragraph" w:styleId="Heading2">
    <w:name w:val="heading 2"/>
    <w:basedOn w:val="Normal"/>
    <w:next w:val="Normal"/>
    <w:link w:val="Heading2Char"/>
    <w:uiPriority w:val="9"/>
    <w:unhideWhenUsed/>
    <w:qFormat/>
    <w:rsid w:val="00934F34"/>
    <w:pPr>
      <w:keepNext/>
      <w:keepLines/>
      <w:spacing w:before="120"/>
      <w:ind w:firstLine="284"/>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934F34"/>
    <w:pPr>
      <w:keepNext/>
      <w:keepLines/>
      <w:spacing w:before="200"/>
      <w:ind w:firstLine="284"/>
      <w:outlineLvl w:val="2"/>
    </w:pPr>
    <w:rPr>
      <w:rFonts w:eastAsiaTheme="majorEastAsia" w:cstheme="majorBidi"/>
      <w:b/>
      <w:bCs/>
      <w:i/>
    </w:rPr>
  </w:style>
  <w:style w:type="paragraph" w:styleId="Heading4">
    <w:name w:val="heading 4"/>
    <w:basedOn w:val="Normal"/>
    <w:next w:val="Normal"/>
    <w:link w:val="Heading4Char"/>
    <w:uiPriority w:val="9"/>
    <w:semiHidden/>
    <w:unhideWhenUsed/>
    <w:qFormat/>
    <w:rsid w:val="00E66223"/>
    <w:pPr>
      <w:keepNext/>
      <w:keepLines/>
      <w:spacing w:after="0"/>
      <w:ind w:firstLine="284"/>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4F34"/>
    <w:rPr>
      <w:rFonts w:ascii="Times New Roman" w:eastAsiaTheme="majorEastAsia" w:hAnsi="Times New Roman" w:cstheme="majorBidi"/>
      <w:b/>
      <w:bCs/>
      <w:color w:val="000000" w:themeColor="text1"/>
      <w:szCs w:val="26"/>
    </w:rPr>
  </w:style>
  <w:style w:type="character" w:customStyle="1" w:styleId="Heading3Char">
    <w:name w:val="Heading 3 Char"/>
    <w:basedOn w:val="DefaultParagraphFont"/>
    <w:link w:val="Heading3"/>
    <w:uiPriority w:val="9"/>
    <w:rsid w:val="00934F34"/>
    <w:rPr>
      <w:rFonts w:ascii="Times New Roman" w:eastAsiaTheme="majorEastAsia" w:hAnsi="Times New Roman" w:cstheme="majorBidi"/>
      <w:b/>
      <w:bCs/>
      <w:i/>
    </w:rPr>
  </w:style>
  <w:style w:type="paragraph" w:styleId="Quote">
    <w:name w:val="Quote"/>
    <w:basedOn w:val="Normal"/>
    <w:next w:val="Normal"/>
    <w:link w:val="QuoteChar"/>
    <w:uiPriority w:val="29"/>
    <w:qFormat/>
    <w:rsid w:val="003128AE"/>
    <w:pPr>
      <w:ind w:firstLine="284"/>
    </w:pPr>
    <w:rPr>
      <w:rFonts w:eastAsiaTheme="minorEastAsia"/>
      <w:iCs/>
      <w:color w:val="3366FF"/>
      <w:szCs w:val="24"/>
      <w:lang w:val="en-US"/>
    </w:rPr>
  </w:style>
  <w:style w:type="character" w:customStyle="1" w:styleId="QuoteChar">
    <w:name w:val="Quote Char"/>
    <w:basedOn w:val="DefaultParagraphFont"/>
    <w:link w:val="Quote"/>
    <w:uiPriority w:val="29"/>
    <w:rsid w:val="003128AE"/>
    <w:rPr>
      <w:rFonts w:ascii="Times New Roman" w:hAnsi="Times New Roman"/>
      <w:iCs/>
      <w:color w:val="3366FF"/>
    </w:rPr>
  </w:style>
  <w:style w:type="paragraph" w:styleId="BalloonText">
    <w:name w:val="Balloon Text"/>
    <w:basedOn w:val="Normal"/>
    <w:link w:val="BalloonTextChar"/>
    <w:uiPriority w:val="99"/>
    <w:semiHidden/>
    <w:unhideWhenUsed/>
    <w:rsid w:val="001B6EFD"/>
    <w:pPr>
      <w:spacing w:after="0" w:line="240" w:lineRule="auto"/>
      <w:ind w:firstLine="284"/>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EFD"/>
    <w:rPr>
      <w:rFonts w:ascii="Lucida Grande" w:eastAsiaTheme="minorHAnsi" w:hAnsi="Lucida Grande" w:cs="Lucida Grande"/>
      <w:sz w:val="18"/>
      <w:szCs w:val="18"/>
      <w:lang w:val="en-GB"/>
    </w:rPr>
  </w:style>
  <w:style w:type="character" w:customStyle="1" w:styleId="Heading1Char">
    <w:name w:val="Heading 1 Char"/>
    <w:basedOn w:val="DefaultParagraphFont"/>
    <w:link w:val="Heading1"/>
    <w:uiPriority w:val="9"/>
    <w:rsid w:val="00FB1ABC"/>
    <w:rPr>
      <w:rFonts w:ascii="Times New Roman" w:eastAsiaTheme="majorEastAsia" w:hAnsi="Times New Roman" w:cstheme="majorBidi"/>
      <w:b/>
      <w:bCs/>
      <w:szCs w:val="32"/>
      <w:lang w:val="en-GB"/>
    </w:rPr>
  </w:style>
  <w:style w:type="paragraph" w:styleId="DocumentMap">
    <w:name w:val="Document Map"/>
    <w:basedOn w:val="Normal"/>
    <w:link w:val="DocumentMapChar"/>
    <w:uiPriority w:val="99"/>
    <w:semiHidden/>
    <w:unhideWhenUsed/>
    <w:rsid w:val="00FB1ABC"/>
    <w:pPr>
      <w:spacing w:after="0"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FB1ABC"/>
    <w:rPr>
      <w:rFonts w:ascii="Lucida Grande" w:eastAsiaTheme="minorHAnsi" w:hAnsi="Lucida Grande" w:cs="Lucida Grande"/>
      <w:lang w:val="en-GB"/>
    </w:rPr>
  </w:style>
  <w:style w:type="paragraph" w:styleId="ListParagraph">
    <w:name w:val="List Paragraph"/>
    <w:basedOn w:val="Normal"/>
    <w:uiPriority w:val="34"/>
    <w:qFormat/>
    <w:rsid w:val="00477444"/>
    <w:pPr>
      <w:ind w:left="720"/>
      <w:contextualSpacing/>
    </w:pPr>
  </w:style>
  <w:style w:type="character" w:styleId="Hyperlink">
    <w:name w:val="Hyperlink"/>
    <w:basedOn w:val="DefaultParagraphFont"/>
    <w:uiPriority w:val="99"/>
    <w:unhideWhenUsed/>
    <w:rsid w:val="00477444"/>
    <w:rPr>
      <w:color w:val="0000FF" w:themeColor="hyperlink"/>
      <w:u w:val="single"/>
    </w:rPr>
  </w:style>
  <w:style w:type="character" w:styleId="CommentReference">
    <w:name w:val="annotation reference"/>
    <w:basedOn w:val="DefaultParagraphFont"/>
    <w:uiPriority w:val="99"/>
    <w:semiHidden/>
    <w:unhideWhenUsed/>
    <w:rsid w:val="0039476F"/>
    <w:rPr>
      <w:sz w:val="18"/>
      <w:szCs w:val="18"/>
    </w:rPr>
  </w:style>
  <w:style w:type="paragraph" w:styleId="CommentText">
    <w:name w:val="annotation text"/>
    <w:basedOn w:val="Normal"/>
    <w:link w:val="CommentTextChar"/>
    <w:uiPriority w:val="99"/>
    <w:unhideWhenUsed/>
    <w:rsid w:val="0039476F"/>
    <w:pPr>
      <w:spacing w:line="240" w:lineRule="auto"/>
    </w:pPr>
    <w:rPr>
      <w:szCs w:val="24"/>
    </w:rPr>
  </w:style>
  <w:style w:type="character" w:customStyle="1" w:styleId="CommentTextChar">
    <w:name w:val="Comment Text Char"/>
    <w:basedOn w:val="DefaultParagraphFont"/>
    <w:link w:val="CommentText"/>
    <w:uiPriority w:val="99"/>
    <w:rsid w:val="0039476F"/>
    <w:rPr>
      <w:rFonts w:ascii="Times New Roman" w:eastAsiaTheme="minorHAnsi" w:hAnsi="Times New Roman"/>
      <w:lang w:val="en-GB"/>
    </w:rPr>
  </w:style>
  <w:style w:type="paragraph" w:styleId="CommentSubject">
    <w:name w:val="annotation subject"/>
    <w:basedOn w:val="CommentText"/>
    <w:next w:val="CommentText"/>
    <w:link w:val="CommentSubjectChar"/>
    <w:uiPriority w:val="99"/>
    <w:semiHidden/>
    <w:unhideWhenUsed/>
    <w:rsid w:val="0039476F"/>
    <w:rPr>
      <w:b/>
      <w:bCs/>
      <w:sz w:val="20"/>
      <w:szCs w:val="20"/>
    </w:rPr>
  </w:style>
  <w:style w:type="character" w:customStyle="1" w:styleId="CommentSubjectChar">
    <w:name w:val="Comment Subject Char"/>
    <w:basedOn w:val="CommentTextChar"/>
    <w:link w:val="CommentSubject"/>
    <w:uiPriority w:val="99"/>
    <w:semiHidden/>
    <w:rsid w:val="0039476F"/>
    <w:rPr>
      <w:rFonts w:ascii="Times New Roman" w:eastAsiaTheme="minorHAnsi" w:hAnsi="Times New Roman"/>
      <w:b/>
      <w:bCs/>
      <w:sz w:val="20"/>
      <w:szCs w:val="20"/>
      <w:lang w:val="en-GB"/>
    </w:rPr>
  </w:style>
  <w:style w:type="character" w:customStyle="1" w:styleId="Heading4Char">
    <w:name w:val="Heading 4 Char"/>
    <w:basedOn w:val="DefaultParagraphFont"/>
    <w:link w:val="Heading4"/>
    <w:uiPriority w:val="9"/>
    <w:semiHidden/>
    <w:rsid w:val="00E66223"/>
    <w:rPr>
      <w:rFonts w:ascii="Times New Roman" w:eastAsiaTheme="majorEastAsia" w:hAnsi="Times New Roman" w:cstheme="majorBidi"/>
      <w:b/>
      <w:bCs/>
      <w:i/>
      <w:iCs/>
      <w:szCs w:val="22"/>
      <w:lang w:val="en-GB"/>
    </w:rPr>
  </w:style>
  <w:style w:type="character" w:styleId="LineNumber">
    <w:name w:val="line number"/>
    <w:basedOn w:val="DefaultParagraphFont"/>
    <w:uiPriority w:val="99"/>
    <w:semiHidden/>
    <w:unhideWhenUsed/>
    <w:rsid w:val="00E66223"/>
  </w:style>
  <w:style w:type="paragraph" w:styleId="Footer">
    <w:name w:val="footer"/>
    <w:basedOn w:val="Normal"/>
    <w:link w:val="FooterChar"/>
    <w:uiPriority w:val="99"/>
    <w:unhideWhenUsed/>
    <w:rsid w:val="0083728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728D"/>
    <w:rPr>
      <w:rFonts w:ascii="Times New Roman" w:eastAsiaTheme="minorHAnsi" w:hAnsi="Times New Roman"/>
      <w:szCs w:val="22"/>
      <w:lang w:val="en-GB"/>
    </w:rPr>
  </w:style>
  <w:style w:type="character" w:styleId="PageNumber">
    <w:name w:val="page number"/>
    <w:basedOn w:val="DefaultParagraphFont"/>
    <w:uiPriority w:val="99"/>
    <w:semiHidden/>
    <w:unhideWhenUsed/>
    <w:rsid w:val="0083728D"/>
  </w:style>
  <w:style w:type="paragraph" w:styleId="Header">
    <w:name w:val="header"/>
    <w:basedOn w:val="Normal"/>
    <w:link w:val="HeaderChar"/>
    <w:uiPriority w:val="99"/>
    <w:unhideWhenUsed/>
    <w:rsid w:val="003C35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3585"/>
    <w:rPr>
      <w:rFonts w:ascii="Times New Roman" w:eastAsiaTheme="minorHAnsi" w:hAnsi="Times New Roman"/>
      <w:szCs w:val="22"/>
      <w:lang w:val="en-GB"/>
    </w:rPr>
  </w:style>
  <w:style w:type="character" w:customStyle="1" w:styleId="mwe-math-mathml-inline">
    <w:name w:val="mwe-math-mathml-inline"/>
    <w:basedOn w:val="DefaultParagraphFont"/>
    <w:rsid w:val="00605729"/>
  </w:style>
  <w:style w:type="character" w:styleId="UnresolvedMention">
    <w:name w:val="Unresolved Mention"/>
    <w:basedOn w:val="DefaultParagraphFont"/>
    <w:uiPriority w:val="99"/>
    <w:semiHidden/>
    <w:unhideWhenUsed/>
    <w:rsid w:val="00892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818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23ABD-D454-1844-8532-7FC3C5FF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6449</Words>
  <Characters>36765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43128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Kempf</dc:creator>
  <cp:keywords/>
  <dc:description/>
  <cp:lastModifiedBy>Philipp Kempf</cp:lastModifiedBy>
  <cp:revision>4</cp:revision>
  <cp:lastPrinted>2016-02-24T09:31:00Z</cp:lastPrinted>
  <dcterms:created xsi:type="dcterms:W3CDTF">2018-12-06T08:38:00Z</dcterms:created>
  <dcterms:modified xsi:type="dcterms:W3CDTF">2018-12-06T08:49:00Z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http://www.zotero.org/styles/bulletin-of-the-seismological-society-of-america</vt:lpwstr>
  </property>
  <property fmtid="{D5CDD505-2E9C-101B-9397-08002B2CF9AE}" pid="4" name="Mendeley Recent Style Id 0_1">
    <vt:lpwstr>http://www.zotero.org/styles/bulletin-of-the-seismological-society-of-america</vt:lpwstr>
  </property>
  <property fmtid="{D5CDD505-2E9C-101B-9397-08002B2CF9AE}" pid="5" name="Mendeley Recent Style Name 0_1">
    <vt:lpwstr>Bulletin of the Seismological Society of America</vt:lpwstr>
  </property>
  <property fmtid="{D5CDD505-2E9C-101B-9397-08002B2CF9AE}" pid="6" name="Mendeley Recent Style Id 1_1">
    <vt:lpwstr>http://www.zotero.org/styles/earth-and-planetary-science-letters</vt:lpwstr>
  </property>
  <property fmtid="{D5CDD505-2E9C-101B-9397-08002B2CF9AE}" pid="7" name="Mendeley Recent Style Name 1_1">
    <vt:lpwstr>Earth and Planetary Science Letters</vt:lpwstr>
  </property>
  <property fmtid="{D5CDD505-2E9C-101B-9397-08002B2CF9AE}" pid="8" name="Mendeley Recent Style Id 2_1">
    <vt:lpwstr>http://www.zotero.org/styles/geology</vt:lpwstr>
  </property>
  <property fmtid="{D5CDD505-2E9C-101B-9397-08002B2CF9AE}" pid="9" name="Mendeley Recent Style Name 2_1">
    <vt:lpwstr>Geology</vt:lpwstr>
  </property>
  <property fmtid="{D5CDD505-2E9C-101B-9397-08002B2CF9AE}" pid="10" name="Mendeley Recent Style Id 3_1">
    <vt:lpwstr>http://www.zotero.org/styles/marine-geology</vt:lpwstr>
  </property>
  <property fmtid="{D5CDD505-2E9C-101B-9397-08002B2CF9AE}" pid="11" name="Mendeley Recent Style Name 3_1">
    <vt:lpwstr>Marine Geology</vt:lpwstr>
  </property>
  <property fmtid="{D5CDD505-2E9C-101B-9397-08002B2CF9AE}" pid="12" name="Mendeley Recent Style Id 4_1">
    <vt:lpwstr>http://www.zotero.org/styles/modern-language-association</vt:lpwstr>
  </property>
  <property fmtid="{D5CDD505-2E9C-101B-9397-08002B2CF9AE}" pid="13" name="Mendeley Recent Style Name 4_1">
    <vt:lpwstr>Modern Language Association 8th edition</vt:lpwstr>
  </property>
  <property fmtid="{D5CDD505-2E9C-101B-9397-08002B2CF9AE}" pid="14" name="Mendeley Recent Style Id 5_1">
    <vt:lpwstr>http://csl.mendeley.com/styles/80811521/MyStyle02</vt:lpwstr>
  </property>
  <property fmtid="{D5CDD505-2E9C-101B-9397-08002B2CF9AE}" pid="15" name="Mendeley Recent Style Name 5_1">
    <vt:lpwstr>MyStyle02</vt:lpwstr>
  </property>
  <property fmtid="{D5CDD505-2E9C-101B-9397-08002B2CF9AE}" pid="16" name="Mendeley Recent Style Id 6_1">
    <vt:lpwstr>http://www.zotero.org/styles/nature</vt:lpwstr>
  </property>
  <property fmtid="{D5CDD505-2E9C-101B-9397-08002B2CF9AE}" pid="17" name="Mendeley Recent Style Name 6_1">
    <vt:lpwstr>Nature</vt:lpwstr>
  </property>
  <property fmtid="{D5CDD505-2E9C-101B-9397-08002B2CF9AE}" pid="18" name="Mendeley Recent Style Id 7_1">
    <vt:lpwstr>http://www.zotero.org/styles/quaternary-science-reviews</vt:lpwstr>
  </property>
  <property fmtid="{D5CDD505-2E9C-101B-9397-08002B2CF9AE}" pid="19" name="Mendeley Recent Style Name 7_1">
    <vt:lpwstr>Quaternary Science Reviews</vt:lpwstr>
  </property>
  <property fmtid="{D5CDD505-2E9C-101B-9397-08002B2CF9AE}" pid="20" name="Mendeley Recent Style Id 8_1">
    <vt:lpwstr>http://www.zotero.org/styles/sedimentary-geology</vt:lpwstr>
  </property>
  <property fmtid="{D5CDD505-2E9C-101B-9397-08002B2CF9AE}" pid="21" name="Mendeley Recent Style Name 8_1">
    <vt:lpwstr>Sedimentary Geology</vt:lpwstr>
  </property>
  <property fmtid="{D5CDD505-2E9C-101B-9397-08002B2CF9AE}" pid="22" name="Mendeley Recent Style Id 9_1">
    <vt:lpwstr>http://csl.mendeley.com/styles/80811521/elsevier-harvard</vt:lpwstr>
  </property>
  <property fmtid="{D5CDD505-2E9C-101B-9397-08002B2CF9AE}" pid="23" name="Mendeley Recent Style Name 9_1">
    <vt:lpwstr>Sedimentary Geology 2</vt:lpwstr>
  </property>
  <property fmtid="{D5CDD505-2E9C-101B-9397-08002B2CF9AE}" pid="24" name="Mendeley Unique User Id_1">
    <vt:lpwstr>325b87d5-0eb5-3c10-b6e3-478037684700</vt:lpwstr>
  </property>
</Properties>
</file>